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活性焦</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2020</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17</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LT</w:t>
      </w:r>
      <w:r>
        <w:rPr>
          <w:rFonts w:hint="eastAsia" w:ascii="宋体" w:hAnsi="宋体"/>
          <w:u w:val="single"/>
          <w:lang w:val="en-US" w:eastAsia="zh-CN"/>
        </w:rPr>
        <w:t>SC202011010HXJ</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活性焦</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汪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15955320531</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11</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24</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11</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27日</w:t>
      </w:r>
      <w:r>
        <w:rPr>
          <w:rFonts w:hint="eastAsia"/>
          <w:color w:val="2A2A2A"/>
          <w:sz w:val="24"/>
          <w:szCs w:val="24"/>
          <w:shd w:val="clear" w:color="auto" w:fill="FFFFFF"/>
        </w:rPr>
        <w:t>上午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捌万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24</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spacing w:line="360" w:lineRule="auto"/>
        <w:ind w:firstLine="562" w:firstLineChars="200"/>
        <w:rPr>
          <w:rFonts w:hint="eastAsia" w:ascii="宋体" w:hAnsi="宋体"/>
          <w:b/>
          <w:color w:val="FF0000"/>
          <w:sz w:val="28"/>
          <w:szCs w:val="28"/>
          <w:highlight w:val="none"/>
        </w:rPr>
      </w:pPr>
      <w:r>
        <w:rPr>
          <w:rFonts w:hint="eastAsia" w:ascii="宋体" w:hAnsi="宋体"/>
          <w:b/>
          <w:color w:val="FF0000"/>
          <w:sz w:val="28"/>
          <w:szCs w:val="28"/>
        </w:rPr>
        <w:t>1</w:t>
      </w:r>
      <w:r>
        <w:rPr>
          <w:rFonts w:hint="eastAsia" w:ascii="宋体" w:hAnsi="宋体"/>
          <w:b/>
          <w:color w:val="FF0000"/>
          <w:sz w:val="28"/>
          <w:szCs w:val="28"/>
          <w:highlight w:val="none"/>
        </w:rPr>
        <w:t>、满足</w:t>
      </w:r>
      <w:r>
        <w:rPr>
          <w:rFonts w:hint="eastAsia" w:ascii="宋体" w:hAnsi="宋体"/>
          <w:b/>
          <w:color w:val="FF0000"/>
          <w:sz w:val="28"/>
          <w:szCs w:val="28"/>
          <w:highlight w:val="none"/>
          <w:lang w:eastAsia="zh-CN"/>
        </w:rPr>
        <w:t>附件</w:t>
      </w:r>
      <w:r>
        <w:rPr>
          <w:rFonts w:hint="eastAsia" w:ascii="宋体" w:hAnsi="宋体"/>
          <w:b/>
          <w:color w:val="FF0000"/>
          <w:sz w:val="28"/>
          <w:szCs w:val="28"/>
          <w:highlight w:val="none"/>
        </w:rPr>
        <w:t>技术要求及业主单位生产使用要求。</w:t>
      </w:r>
    </w:p>
    <w:p>
      <w:pPr>
        <w:spacing w:line="360" w:lineRule="auto"/>
        <w:ind w:firstLine="562" w:firstLineChars="200"/>
        <w:rPr>
          <w:rFonts w:hint="eastAsia" w:ascii="宋体" w:hAnsi="宋体"/>
          <w:b/>
          <w:color w:val="FF0000"/>
          <w:sz w:val="28"/>
          <w:szCs w:val="28"/>
        </w:rPr>
      </w:pPr>
      <w:r>
        <w:rPr>
          <w:rFonts w:hint="eastAsia" w:ascii="宋体" w:hAnsi="宋体"/>
          <w:b/>
          <w:color w:val="FF0000"/>
          <w:sz w:val="28"/>
          <w:szCs w:val="28"/>
        </w:rPr>
        <w:t>2、要求提供</w:t>
      </w:r>
      <w:r>
        <w:rPr>
          <w:rFonts w:hint="eastAsia" w:ascii="宋体" w:hAnsi="宋体"/>
          <w:b/>
          <w:color w:val="FF0000"/>
          <w:sz w:val="28"/>
          <w:szCs w:val="28"/>
          <w:lang w:val="en-US" w:eastAsia="zh-CN"/>
        </w:rPr>
        <w:t>业内大</w:t>
      </w:r>
      <w:r>
        <w:rPr>
          <w:rFonts w:hint="eastAsia" w:ascii="宋体" w:hAnsi="宋体"/>
          <w:b/>
          <w:color w:val="FF0000"/>
          <w:sz w:val="28"/>
          <w:szCs w:val="28"/>
        </w:rPr>
        <w:t>型钢厂</w:t>
      </w:r>
      <w:r>
        <w:rPr>
          <w:rFonts w:hint="eastAsia" w:ascii="宋体" w:hAnsi="宋体"/>
          <w:b/>
          <w:color w:val="FF0000"/>
          <w:sz w:val="28"/>
          <w:szCs w:val="28"/>
          <w:lang w:val="en-US" w:eastAsia="zh-CN"/>
        </w:rPr>
        <w:t>供货</w:t>
      </w:r>
      <w:r>
        <w:rPr>
          <w:rFonts w:hint="eastAsia" w:ascii="宋体" w:hAnsi="宋体"/>
          <w:b/>
          <w:color w:val="FF0000"/>
          <w:sz w:val="28"/>
          <w:szCs w:val="28"/>
        </w:rPr>
        <w:t>合同复印件作业绩证明。</w:t>
      </w:r>
    </w:p>
    <w:p>
      <w:pPr>
        <w:spacing w:line="360" w:lineRule="auto"/>
        <w:ind w:firstLine="562" w:firstLineChars="200"/>
        <w:rPr>
          <w:rFonts w:hint="eastAsia" w:ascii="宋体" w:hAnsi="宋体"/>
          <w:b/>
          <w:color w:val="FF0000"/>
          <w:sz w:val="28"/>
          <w:szCs w:val="28"/>
        </w:rPr>
      </w:pPr>
      <w:r>
        <w:rPr>
          <w:rFonts w:hint="eastAsia" w:ascii="宋体" w:hAnsi="宋体"/>
          <w:b/>
          <w:color w:val="FF0000"/>
          <w:sz w:val="28"/>
          <w:szCs w:val="28"/>
        </w:rPr>
        <w:t>3、本次招标招</w:t>
      </w:r>
      <w:r>
        <w:rPr>
          <w:rFonts w:hint="eastAsia" w:ascii="宋体" w:hAnsi="宋体"/>
          <w:b/>
          <w:color w:val="FF0000"/>
          <w:sz w:val="28"/>
          <w:szCs w:val="28"/>
          <w:lang w:eastAsia="zh-CN"/>
        </w:rPr>
        <w:t>三</w:t>
      </w:r>
      <w:r>
        <w:rPr>
          <w:rFonts w:hint="eastAsia" w:ascii="宋体" w:hAnsi="宋体"/>
          <w:b/>
          <w:color w:val="FF0000"/>
          <w:sz w:val="28"/>
          <w:szCs w:val="28"/>
        </w:rPr>
        <w:t>个月的供货量</w:t>
      </w:r>
      <w:r>
        <w:rPr>
          <w:rFonts w:hint="eastAsia" w:ascii="宋体" w:hAnsi="宋体"/>
          <w:b/>
          <w:color w:val="FF0000"/>
          <w:sz w:val="28"/>
          <w:szCs w:val="28"/>
          <w:lang w:eastAsia="zh-CN"/>
        </w:rPr>
        <w:t>为</w:t>
      </w:r>
      <w:r>
        <w:rPr>
          <w:rFonts w:hint="eastAsia" w:ascii="宋体" w:hAnsi="宋体"/>
          <w:b/>
          <w:color w:val="FF0000"/>
          <w:sz w:val="28"/>
          <w:szCs w:val="28"/>
        </w:rPr>
        <w:t>：</w:t>
      </w:r>
      <w:bookmarkStart w:id="0" w:name="_GoBack"/>
      <w:bookmarkEnd w:id="0"/>
      <w:r>
        <w:rPr>
          <w:rFonts w:hint="eastAsia" w:ascii="宋体" w:hAnsi="宋体"/>
          <w:b/>
          <w:color w:val="FF0000"/>
          <w:sz w:val="28"/>
          <w:szCs w:val="28"/>
          <w:lang w:eastAsia="zh-CN"/>
        </w:rPr>
        <w:t>活性焦</w:t>
      </w:r>
      <w:r>
        <w:rPr>
          <w:rFonts w:hint="eastAsia" w:ascii="宋体" w:hAnsi="宋体"/>
          <w:b/>
          <w:color w:val="FF0000"/>
          <w:sz w:val="28"/>
          <w:szCs w:val="28"/>
        </w:rPr>
        <w:t>用量约</w:t>
      </w:r>
      <w:r>
        <w:rPr>
          <w:rFonts w:hint="eastAsia" w:ascii="宋体" w:hAnsi="宋体"/>
          <w:b/>
          <w:color w:val="FF0000"/>
          <w:sz w:val="28"/>
          <w:szCs w:val="28"/>
          <w:lang w:val="en-US" w:eastAsia="zh-CN"/>
        </w:rPr>
        <w:t>1400</w:t>
      </w:r>
      <w:r>
        <w:rPr>
          <w:rFonts w:hint="eastAsia" w:ascii="宋体" w:hAnsi="宋体"/>
          <w:b/>
          <w:color w:val="FF0000"/>
          <w:sz w:val="28"/>
          <w:szCs w:val="28"/>
        </w:rPr>
        <w:t>吨（该数量为</w:t>
      </w:r>
      <w:r>
        <w:rPr>
          <w:rFonts w:hint="eastAsia" w:ascii="宋体" w:hAnsi="宋体"/>
          <w:b/>
          <w:color w:val="FF0000"/>
          <w:sz w:val="28"/>
          <w:szCs w:val="28"/>
          <w:lang w:eastAsia="zh-CN"/>
        </w:rPr>
        <w:t>三</w:t>
      </w:r>
      <w:r>
        <w:rPr>
          <w:rFonts w:hint="eastAsia" w:ascii="宋体" w:hAnsi="宋体"/>
          <w:b/>
          <w:color w:val="FF0000"/>
          <w:sz w:val="28"/>
          <w:szCs w:val="28"/>
        </w:rPr>
        <w:t>个月的理论需求数量，具体供货数量以生产单位实际用量为准，具体供货时间以商务部门通知为准）。</w:t>
      </w:r>
    </w:p>
    <w:p>
      <w:pPr>
        <w:numPr>
          <w:ilvl w:val="0"/>
          <w:numId w:val="0"/>
        </w:numPr>
        <w:ind w:left="360" w:leftChars="0"/>
        <w:jc w:val="left"/>
        <w:rPr>
          <w:rFonts w:hint="eastAsia" w:ascii="宋体" w:hAnsi="宋体"/>
          <w:b/>
          <w:color w:val="FF0000"/>
          <w:sz w:val="28"/>
          <w:szCs w:val="28"/>
        </w:rPr>
      </w:pPr>
      <w:r>
        <w:rPr>
          <w:rFonts w:hint="eastAsia" w:ascii="宋体" w:hAnsi="宋体"/>
          <w:b/>
          <w:color w:val="FF0000"/>
          <w:sz w:val="28"/>
          <w:szCs w:val="28"/>
          <w:lang w:val="en-US" w:eastAsia="zh-CN"/>
        </w:rPr>
        <w:t>4、本次</w:t>
      </w:r>
      <w:r>
        <w:rPr>
          <w:rFonts w:hint="eastAsia" w:ascii="宋体" w:hAnsi="宋体"/>
          <w:b/>
          <w:color w:val="FF0000"/>
          <w:sz w:val="28"/>
          <w:szCs w:val="28"/>
        </w:rPr>
        <w:t>招标项目</w:t>
      </w:r>
      <w:r>
        <w:rPr>
          <w:rFonts w:hint="eastAsia" w:ascii="宋体" w:hAnsi="宋体"/>
          <w:b/>
          <w:color w:val="FF0000"/>
          <w:sz w:val="28"/>
          <w:szCs w:val="28"/>
          <w:lang w:eastAsia="zh-CN"/>
        </w:rPr>
        <w:t>（活性焦</w:t>
      </w:r>
      <w:r>
        <w:rPr>
          <w:rFonts w:hint="eastAsia"/>
          <w:b w:val="0"/>
          <w:bCs/>
          <w:color w:val="auto"/>
          <w:sz w:val="28"/>
          <w:szCs w:val="28"/>
          <w:lang w:val="en-US" w:eastAsia="zh-CN"/>
        </w:rPr>
        <w:t>）</w:t>
      </w:r>
      <w:r>
        <w:rPr>
          <w:rFonts w:hint="eastAsia"/>
          <w:b/>
          <w:bCs w:val="0"/>
          <w:color w:val="FF0000"/>
          <w:sz w:val="28"/>
          <w:szCs w:val="28"/>
          <w:lang w:val="en-US" w:eastAsia="zh-CN"/>
        </w:rPr>
        <w:t>最高投标限价为：3600元/吨（大写：叁仟陆佰元每吨），报价高于此最高投标限价的作废标处理。</w:t>
      </w: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rPr>
          <w:b/>
          <w:sz w:val="24"/>
          <w:szCs w:val="24"/>
        </w:rPr>
      </w:pPr>
    </w:p>
    <w:p>
      <w:pPr>
        <w:jc w:val="right"/>
        <w:rPr>
          <w:b/>
          <w:sz w:val="24"/>
          <w:szCs w:val="24"/>
        </w:rPr>
      </w:pPr>
    </w:p>
    <w:p>
      <w:pPr>
        <w:jc w:val="right"/>
        <w:rPr>
          <w:b/>
          <w:sz w:val="24"/>
          <w:szCs w:val="24"/>
        </w:rPr>
      </w:pPr>
    </w:p>
    <w:p>
      <w:pPr>
        <w:jc w:val="right"/>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17</w:t>
      </w:r>
      <w:r>
        <w:rPr>
          <w:rFonts w:hint="eastAsia" w:ascii="宋体" w:hAnsi="宋体"/>
          <w:sz w:val="24"/>
          <w:szCs w:val="24"/>
        </w:rPr>
        <w:t>日</w:t>
      </w: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widowControl/>
        <w:shd w:val="clear" w:color="auto" w:fill="FFFFFF"/>
        <w:spacing w:line="360" w:lineRule="auto"/>
        <w:ind w:firstLine="4480" w:firstLineChars="1600"/>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活性焦</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widowControl/>
        <w:shd w:val="clear" w:color="auto" w:fill="FFFFFF"/>
        <w:spacing w:line="600" w:lineRule="atLeast"/>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Style w:val="10"/>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1231"/>
        <w:gridCol w:w="1212"/>
        <w:gridCol w:w="4114"/>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37" w:type="pct"/>
            <w:noWrap w:val="0"/>
            <w:vAlign w:val="center"/>
          </w:tcPr>
          <w:p>
            <w:pPr>
              <w:jc w:val="center"/>
              <w:rPr>
                <w:rFonts w:hint="eastAsia"/>
                <w:sz w:val="18"/>
                <w:szCs w:val="18"/>
              </w:rPr>
            </w:pPr>
            <w:r>
              <w:rPr>
                <w:rFonts w:hint="eastAsia"/>
                <w:sz w:val="18"/>
                <w:szCs w:val="18"/>
              </w:rPr>
              <w:t>序号</w:t>
            </w:r>
          </w:p>
        </w:tc>
        <w:tc>
          <w:tcPr>
            <w:tcW w:w="1230" w:type="dxa"/>
            <w:noWrap w:val="0"/>
            <w:vAlign w:val="center"/>
          </w:tcPr>
          <w:p>
            <w:pPr>
              <w:jc w:val="center"/>
              <w:rPr>
                <w:rFonts w:hint="eastAsia"/>
                <w:sz w:val="18"/>
                <w:szCs w:val="18"/>
              </w:rPr>
            </w:pPr>
            <w:r>
              <w:rPr>
                <w:rFonts w:hint="eastAsia"/>
                <w:sz w:val="18"/>
                <w:szCs w:val="18"/>
              </w:rPr>
              <w:t>物资名称</w:t>
            </w:r>
          </w:p>
        </w:tc>
        <w:tc>
          <w:tcPr>
            <w:tcW w:w="1210" w:type="dxa"/>
            <w:noWrap w:val="0"/>
            <w:vAlign w:val="center"/>
          </w:tcPr>
          <w:p>
            <w:pPr>
              <w:jc w:val="center"/>
              <w:rPr>
                <w:rFonts w:hint="eastAsia"/>
                <w:sz w:val="18"/>
                <w:szCs w:val="18"/>
              </w:rPr>
            </w:pPr>
            <w:r>
              <w:rPr>
                <w:rFonts w:hint="eastAsia"/>
                <w:sz w:val="18"/>
                <w:szCs w:val="18"/>
                <w:lang w:eastAsia="zh-CN"/>
              </w:rPr>
              <w:t>三</w:t>
            </w:r>
            <w:r>
              <w:rPr>
                <w:rFonts w:hint="eastAsia"/>
                <w:sz w:val="18"/>
                <w:szCs w:val="18"/>
              </w:rPr>
              <w:t>个月理论要求数量</w:t>
            </w:r>
          </w:p>
        </w:tc>
        <w:tc>
          <w:tcPr>
            <w:tcW w:w="2312" w:type="pct"/>
            <w:noWrap w:val="0"/>
            <w:vAlign w:val="center"/>
          </w:tcPr>
          <w:p>
            <w:pPr>
              <w:jc w:val="center"/>
              <w:rPr>
                <w:rFonts w:hint="eastAsia"/>
                <w:sz w:val="18"/>
                <w:szCs w:val="18"/>
              </w:rPr>
            </w:pPr>
            <w:r>
              <w:rPr>
                <w:rFonts w:hint="eastAsia"/>
                <w:sz w:val="18"/>
                <w:szCs w:val="18"/>
              </w:rPr>
              <w:t>含税、含运费报价（元/吨）</w:t>
            </w:r>
          </w:p>
        </w:tc>
        <w:tc>
          <w:tcPr>
            <w:tcW w:w="978" w:type="pct"/>
            <w:noWrap w:val="0"/>
            <w:vAlign w:val="center"/>
          </w:tcPr>
          <w:p>
            <w:pPr>
              <w:jc w:val="center"/>
              <w:rPr>
                <w:rFonts w:hint="eastAsia"/>
                <w:sz w:val="18"/>
                <w:szCs w:val="18"/>
              </w:rPr>
            </w:pPr>
            <w:r>
              <w:rPr>
                <w:rFonts w:hint="eastAsia"/>
                <w:sz w:val="18"/>
                <w:szCs w:val="18"/>
              </w:rPr>
              <w:t>供应量（吨）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37" w:type="pct"/>
            <w:vMerge w:val="restart"/>
            <w:noWrap w:val="0"/>
            <w:vAlign w:val="center"/>
          </w:tcPr>
          <w:p>
            <w:pPr>
              <w:jc w:val="center"/>
              <w:rPr>
                <w:sz w:val="24"/>
                <w:szCs w:val="24"/>
              </w:rPr>
            </w:pPr>
            <w:r>
              <w:rPr>
                <w:rFonts w:hint="eastAsia"/>
                <w:sz w:val="24"/>
                <w:szCs w:val="24"/>
              </w:rPr>
              <w:t>1</w:t>
            </w:r>
          </w:p>
        </w:tc>
        <w:tc>
          <w:tcPr>
            <w:tcW w:w="1230" w:type="dxa"/>
            <w:vMerge w:val="restart"/>
            <w:noWrap w:val="0"/>
            <w:vAlign w:val="center"/>
          </w:tcPr>
          <w:p>
            <w:pPr>
              <w:jc w:val="center"/>
              <w:rPr>
                <w:rFonts w:hint="eastAsia" w:ascii="宋体" w:hAnsi="宋体" w:eastAsia="宋体"/>
                <w:b/>
                <w:color w:val="000000"/>
                <w:sz w:val="24"/>
                <w:szCs w:val="24"/>
                <w:lang w:eastAsia="zh-CN"/>
              </w:rPr>
            </w:pPr>
            <w:r>
              <w:rPr>
                <w:rFonts w:hint="eastAsia" w:ascii="宋体" w:hAnsi="宋体"/>
                <w:b/>
                <w:color w:val="FF0000"/>
                <w:sz w:val="28"/>
                <w:szCs w:val="28"/>
                <w:lang w:eastAsia="zh-CN"/>
              </w:rPr>
              <w:t>活性焦</w:t>
            </w:r>
          </w:p>
        </w:tc>
        <w:tc>
          <w:tcPr>
            <w:tcW w:w="1210" w:type="dxa"/>
            <w:vMerge w:val="restart"/>
            <w:noWrap w:val="0"/>
            <w:vAlign w:val="center"/>
          </w:tcPr>
          <w:p>
            <w:pPr>
              <w:jc w:val="center"/>
              <w:rPr>
                <w:rFonts w:hint="eastAsia"/>
                <w:sz w:val="24"/>
                <w:szCs w:val="24"/>
              </w:rPr>
            </w:pPr>
            <w:r>
              <w:rPr>
                <w:rFonts w:hint="eastAsia" w:ascii="宋体" w:hAnsi="宋体"/>
                <w:b/>
                <w:color w:val="FF0000"/>
                <w:sz w:val="24"/>
                <w:szCs w:val="24"/>
              </w:rPr>
              <w:t>约</w:t>
            </w:r>
            <w:r>
              <w:rPr>
                <w:rFonts w:hint="eastAsia" w:ascii="宋体" w:hAnsi="宋体"/>
                <w:b/>
                <w:color w:val="FF0000"/>
                <w:sz w:val="24"/>
                <w:szCs w:val="24"/>
                <w:lang w:val="en-US" w:eastAsia="zh-CN"/>
              </w:rPr>
              <w:t>1400</w:t>
            </w:r>
            <w:r>
              <w:rPr>
                <w:rFonts w:hint="eastAsia" w:ascii="宋体" w:hAnsi="宋体"/>
                <w:b/>
                <w:color w:val="FF0000"/>
                <w:sz w:val="24"/>
                <w:szCs w:val="24"/>
              </w:rPr>
              <w:t>吨</w:t>
            </w:r>
          </w:p>
        </w:tc>
        <w:tc>
          <w:tcPr>
            <w:tcW w:w="2312" w:type="pct"/>
            <w:noWrap w:val="0"/>
            <w:vAlign w:val="top"/>
          </w:tcPr>
          <w:p>
            <w:pPr>
              <w:jc w:val="left"/>
              <w:rPr>
                <w:rFonts w:hint="eastAsia"/>
                <w:sz w:val="24"/>
                <w:szCs w:val="24"/>
              </w:rPr>
            </w:pPr>
          </w:p>
          <w:p>
            <w:pPr>
              <w:jc w:val="left"/>
              <w:rPr>
                <w:rFonts w:hint="default" w:eastAsia="宋体"/>
                <w:sz w:val="24"/>
                <w:szCs w:val="24"/>
                <w:lang w:val="en-US" w:eastAsia="zh-CN"/>
              </w:rPr>
            </w:pPr>
            <w:r>
              <w:rPr>
                <w:rFonts w:hint="eastAsia"/>
                <w:sz w:val="24"/>
                <w:szCs w:val="24"/>
              </w:rPr>
              <w:t>小写：</w:t>
            </w:r>
            <w:r>
              <w:rPr>
                <w:rFonts w:hint="eastAsia"/>
                <w:sz w:val="24"/>
                <w:szCs w:val="24"/>
                <w:lang w:val="en-US" w:eastAsia="zh-CN"/>
              </w:rPr>
              <w:t xml:space="preserve">                      </w:t>
            </w:r>
            <w:r>
              <w:rPr>
                <w:rFonts w:hint="eastAsia"/>
                <w:sz w:val="18"/>
                <w:szCs w:val="18"/>
              </w:rPr>
              <w:t>元/吨</w:t>
            </w:r>
          </w:p>
        </w:tc>
        <w:tc>
          <w:tcPr>
            <w:tcW w:w="978" w:type="pct"/>
            <w:vMerge w:val="restart"/>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337" w:type="pct"/>
            <w:vMerge w:val="continue"/>
            <w:noWrap w:val="0"/>
            <w:vAlign w:val="center"/>
          </w:tcPr>
          <w:p>
            <w:pPr>
              <w:jc w:val="center"/>
              <w:rPr>
                <w:rFonts w:hint="eastAsia"/>
                <w:sz w:val="24"/>
                <w:szCs w:val="24"/>
              </w:rPr>
            </w:pPr>
          </w:p>
        </w:tc>
        <w:tc>
          <w:tcPr>
            <w:tcW w:w="691" w:type="pct"/>
            <w:vMerge w:val="continue"/>
            <w:noWrap w:val="0"/>
            <w:vAlign w:val="center"/>
          </w:tcPr>
          <w:p>
            <w:pPr>
              <w:jc w:val="center"/>
              <w:rPr>
                <w:rFonts w:hint="eastAsia" w:ascii="宋体" w:hAnsi="宋体"/>
                <w:b/>
                <w:color w:val="000000"/>
                <w:sz w:val="24"/>
                <w:szCs w:val="24"/>
              </w:rPr>
            </w:pPr>
          </w:p>
        </w:tc>
        <w:tc>
          <w:tcPr>
            <w:tcW w:w="680" w:type="pct"/>
            <w:vMerge w:val="continue"/>
            <w:noWrap w:val="0"/>
            <w:vAlign w:val="center"/>
          </w:tcPr>
          <w:p>
            <w:pPr>
              <w:jc w:val="center"/>
              <w:rPr>
                <w:rFonts w:hint="eastAsia"/>
                <w:sz w:val="24"/>
                <w:szCs w:val="24"/>
              </w:rPr>
            </w:pPr>
          </w:p>
        </w:tc>
        <w:tc>
          <w:tcPr>
            <w:tcW w:w="2312" w:type="pct"/>
            <w:noWrap w:val="0"/>
            <w:vAlign w:val="top"/>
          </w:tcPr>
          <w:p>
            <w:pPr>
              <w:jc w:val="left"/>
              <w:rPr>
                <w:rFonts w:hint="eastAsia"/>
                <w:sz w:val="24"/>
                <w:szCs w:val="24"/>
              </w:rPr>
            </w:pPr>
          </w:p>
          <w:p>
            <w:pPr>
              <w:jc w:val="left"/>
              <w:rPr>
                <w:rFonts w:hint="default" w:eastAsia="宋体"/>
                <w:sz w:val="24"/>
                <w:szCs w:val="24"/>
                <w:lang w:val="en-US" w:eastAsia="zh-CN"/>
              </w:rPr>
            </w:pPr>
            <w:r>
              <w:rPr>
                <w:rFonts w:hint="eastAsia"/>
                <w:sz w:val="24"/>
                <w:szCs w:val="24"/>
              </w:rPr>
              <w:t>大写：</w:t>
            </w:r>
            <w:r>
              <w:rPr>
                <w:rFonts w:hint="eastAsia"/>
                <w:sz w:val="24"/>
                <w:szCs w:val="24"/>
                <w:lang w:val="en-US" w:eastAsia="zh-CN"/>
              </w:rPr>
              <w:t xml:space="preserve">                      </w:t>
            </w:r>
            <w:r>
              <w:rPr>
                <w:rFonts w:hint="eastAsia"/>
                <w:sz w:val="18"/>
                <w:szCs w:val="18"/>
              </w:rPr>
              <w:t>元/吨</w:t>
            </w:r>
          </w:p>
        </w:tc>
        <w:tc>
          <w:tcPr>
            <w:tcW w:w="978"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noWrap w:val="0"/>
            <w:vAlign w:val="top"/>
          </w:tcPr>
          <w:p>
            <w:pPr>
              <w:rPr>
                <w:sz w:val="28"/>
                <w:szCs w:val="28"/>
              </w:rPr>
            </w:pPr>
            <w:r>
              <w:rPr>
                <w:rFonts w:hint="eastAsia"/>
                <w:sz w:val="28"/>
                <w:szCs w:val="28"/>
              </w:rPr>
              <w:t>备注: 以上报价含税、含运费，一票制，税率为13%。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noWrap w:val="0"/>
            <w:vAlign w:val="top"/>
          </w:tcPr>
          <w:p>
            <w:pPr>
              <w:rPr>
                <w:rFonts w:hint="eastAsia"/>
                <w:sz w:val="28"/>
                <w:szCs w:val="28"/>
              </w:rPr>
            </w:pPr>
            <w:r>
              <w:rPr>
                <w:rFonts w:hint="eastAsia"/>
                <w:sz w:val="28"/>
                <w:szCs w:val="28"/>
              </w:rPr>
              <w:t>日期：</w:t>
            </w:r>
          </w:p>
        </w:tc>
      </w:tr>
    </w:tbl>
    <w:p>
      <w:pPr>
        <w:spacing w:line="480" w:lineRule="auto"/>
        <w:rPr>
          <w:rFonts w:hint="eastAsia"/>
          <w:color w:val="000000"/>
          <w:sz w:val="24"/>
          <w:szCs w:val="24"/>
        </w:rPr>
      </w:pPr>
    </w:p>
    <w:p>
      <w:pPr>
        <w:tabs>
          <w:tab w:val="left" w:pos="2680"/>
        </w:tabs>
        <w:jc w:val="left"/>
        <w:rPr>
          <w:b/>
          <w:bCs/>
        </w:rPr>
      </w:pPr>
    </w:p>
    <w:p>
      <w:pPr>
        <w:pStyle w:val="9"/>
        <w:widowControl/>
        <w:ind w:firstLine="960" w:firstLineChars="4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935619"/>
    <w:rsid w:val="01BA37EC"/>
    <w:rsid w:val="038D2F19"/>
    <w:rsid w:val="043C4162"/>
    <w:rsid w:val="04823B21"/>
    <w:rsid w:val="05325D34"/>
    <w:rsid w:val="053B5FB3"/>
    <w:rsid w:val="05C52E89"/>
    <w:rsid w:val="06CB7169"/>
    <w:rsid w:val="07BA48CA"/>
    <w:rsid w:val="0831406E"/>
    <w:rsid w:val="085B58B3"/>
    <w:rsid w:val="08A96692"/>
    <w:rsid w:val="0B5E1A54"/>
    <w:rsid w:val="0BFF25BD"/>
    <w:rsid w:val="0CBC295F"/>
    <w:rsid w:val="0DF07D84"/>
    <w:rsid w:val="0E497616"/>
    <w:rsid w:val="0E5345A5"/>
    <w:rsid w:val="0E842CB1"/>
    <w:rsid w:val="0F0803D8"/>
    <w:rsid w:val="0F347211"/>
    <w:rsid w:val="10CA64E1"/>
    <w:rsid w:val="110928F7"/>
    <w:rsid w:val="11654D47"/>
    <w:rsid w:val="135C10D5"/>
    <w:rsid w:val="139F3DA1"/>
    <w:rsid w:val="13B167BE"/>
    <w:rsid w:val="13D576D7"/>
    <w:rsid w:val="154D48F1"/>
    <w:rsid w:val="16541AFE"/>
    <w:rsid w:val="1694444C"/>
    <w:rsid w:val="17F97F08"/>
    <w:rsid w:val="18560C92"/>
    <w:rsid w:val="18ED4DB4"/>
    <w:rsid w:val="19B16948"/>
    <w:rsid w:val="1A577895"/>
    <w:rsid w:val="1A8A6D05"/>
    <w:rsid w:val="1B572CF1"/>
    <w:rsid w:val="1CCB1E53"/>
    <w:rsid w:val="1D2E11E1"/>
    <w:rsid w:val="1E8E57E6"/>
    <w:rsid w:val="1E937D02"/>
    <w:rsid w:val="1F107E3E"/>
    <w:rsid w:val="1F4242F7"/>
    <w:rsid w:val="1F802445"/>
    <w:rsid w:val="205026F2"/>
    <w:rsid w:val="21133B37"/>
    <w:rsid w:val="21534F77"/>
    <w:rsid w:val="21A2160C"/>
    <w:rsid w:val="21E966E6"/>
    <w:rsid w:val="22B96773"/>
    <w:rsid w:val="22E00851"/>
    <w:rsid w:val="23CB766B"/>
    <w:rsid w:val="23D22DCD"/>
    <w:rsid w:val="246A25A2"/>
    <w:rsid w:val="25206CD2"/>
    <w:rsid w:val="25230E4D"/>
    <w:rsid w:val="25B129B0"/>
    <w:rsid w:val="26F50CB1"/>
    <w:rsid w:val="26F906B4"/>
    <w:rsid w:val="278055FF"/>
    <w:rsid w:val="288D3DC5"/>
    <w:rsid w:val="28E2171B"/>
    <w:rsid w:val="29401D6D"/>
    <w:rsid w:val="2A60183A"/>
    <w:rsid w:val="2BBB5AD5"/>
    <w:rsid w:val="2BF10F3E"/>
    <w:rsid w:val="2BF40243"/>
    <w:rsid w:val="2C204052"/>
    <w:rsid w:val="2C480786"/>
    <w:rsid w:val="2C4E01C4"/>
    <w:rsid w:val="2CF31D5E"/>
    <w:rsid w:val="2E3D1B0F"/>
    <w:rsid w:val="2EDD294B"/>
    <w:rsid w:val="3036622A"/>
    <w:rsid w:val="30CA3841"/>
    <w:rsid w:val="3130279D"/>
    <w:rsid w:val="31DF7B93"/>
    <w:rsid w:val="339D246B"/>
    <w:rsid w:val="342060A8"/>
    <w:rsid w:val="34BB556C"/>
    <w:rsid w:val="35212328"/>
    <w:rsid w:val="358603F2"/>
    <w:rsid w:val="36A65EF8"/>
    <w:rsid w:val="36FB2C59"/>
    <w:rsid w:val="373827F1"/>
    <w:rsid w:val="379345D1"/>
    <w:rsid w:val="37974BFF"/>
    <w:rsid w:val="37BE23C2"/>
    <w:rsid w:val="387F2F2C"/>
    <w:rsid w:val="3A3F65BD"/>
    <w:rsid w:val="3A773720"/>
    <w:rsid w:val="3AA26DA4"/>
    <w:rsid w:val="3ACA07AB"/>
    <w:rsid w:val="3B14535E"/>
    <w:rsid w:val="3C456A69"/>
    <w:rsid w:val="3C487023"/>
    <w:rsid w:val="3C887586"/>
    <w:rsid w:val="3D5A40AB"/>
    <w:rsid w:val="3DB441B2"/>
    <w:rsid w:val="3DD2066D"/>
    <w:rsid w:val="3E371640"/>
    <w:rsid w:val="3EB93F1F"/>
    <w:rsid w:val="3EF869AA"/>
    <w:rsid w:val="3F0B65A3"/>
    <w:rsid w:val="3FC82DB5"/>
    <w:rsid w:val="404A6AC9"/>
    <w:rsid w:val="41394D83"/>
    <w:rsid w:val="41A706B0"/>
    <w:rsid w:val="41BF02F4"/>
    <w:rsid w:val="422E1FDF"/>
    <w:rsid w:val="423C71D1"/>
    <w:rsid w:val="426213B7"/>
    <w:rsid w:val="42CE1EFE"/>
    <w:rsid w:val="43944C62"/>
    <w:rsid w:val="4500284B"/>
    <w:rsid w:val="45407B03"/>
    <w:rsid w:val="45C004AA"/>
    <w:rsid w:val="47847BD9"/>
    <w:rsid w:val="47AD4330"/>
    <w:rsid w:val="48E1049E"/>
    <w:rsid w:val="49280B38"/>
    <w:rsid w:val="492C5B3D"/>
    <w:rsid w:val="4B600992"/>
    <w:rsid w:val="4B635392"/>
    <w:rsid w:val="4BA21255"/>
    <w:rsid w:val="4D3C2DFC"/>
    <w:rsid w:val="4DC66F68"/>
    <w:rsid w:val="514F2EE0"/>
    <w:rsid w:val="51A458AF"/>
    <w:rsid w:val="52E54E97"/>
    <w:rsid w:val="52EE0AE7"/>
    <w:rsid w:val="554C057B"/>
    <w:rsid w:val="562E1D47"/>
    <w:rsid w:val="566E6D8E"/>
    <w:rsid w:val="56FF0A43"/>
    <w:rsid w:val="57AC75B3"/>
    <w:rsid w:val="57D705F2"/>
    <w:rsid w:val="5AAF6E02"/>
    <w:rsid w:val="5AEA3AD0"/>
    <w:rsid w:val="5B1A1646"/>
    <w:rsid w:val="5B1D2529"/>
    <w:rsid w:val="5B35349E"/>
    <w:rsid w:val="5BA959B9"/>
    <w:rsid w:val="5C4915E9"/>
    <w:rsid w:val="5D173705"/>
    <w:rsid w:val="5D1B4B8A"/>
    <w:rsid w:val="5D915ACD"/>
    <w:rsid w:val="5D9D5007"/>
    <w:rsid w:val="5E611270"/>
    <w:rsid w:val="5EB2026E"/>
    <w:rsid w:val="61033D16"/>
    <w:rsid w:val="625B24D7"/>
    <w:rsid w:val="62CD795C"/>
    <w:rsid w:val="63E65DE6"/>
    <w:rsid w:val="646C4593"/>
    <w:rsid w:val="66EA0C9A"/>
    <w:rsid w:val="66FB3BC1"/>
    <w:rsid w:val="678F7868"/>
    <w:rsid w:val="68985C4A"/>
    <w:rsid w:val="68BB275A"/>
    <w:rsid w:val="695E0A51"/>
    <w:rsid w:val="6AE713EB"/>
    <w:rsid w:val="6C7B13C4"/>
    <w:rsid w:val="6CA73029"/>
    <w:rsid w:val="6D027CD6"/>
    <w:rsid w:val="6DD71BCE"/>
    <w:rsid w:val="6E550ED4"/>
    <w:rsid w:val="6EA5652C"/>
    <w:rsid w:val="6ED71557"/>
    <w:rsid w:val="706A3FF6"/>
    <w:rsid w:val="70D03715"/>
    <w:rsid w:val="70E0155E"/>
    <w:rsid w:val="711219DD"/>
    <w:rsid w:val="71F96DCA"/>
    <w:rsid w:val="72107C5B"/>
    <w:rsid w:val="732D2693"/>
    <w:rsid w:val="7357254E"/>
    <w:rsid w:val="73611393"/>
    <w:rsid w:val="754F1E1A"/>
    <w:rsid w:val="75752CD3"/>
    <w:rsid w:val="761859F6"/>
    <w:rsid w:val="76206BC5"/>
    <w:rsid w:val="778A5616"/>
    <w:rsid w:val="780E1C86"/>
    <w:rsid w:val="797A02ED"/>
    <w:rsid w:val="79B23223"/>
    <w:rsid w:val="79DE1204"/>
    <w:rsid w:val="7A447EB1"/>
    <w:rsid w:val="7A6263B1"/>
    <w:rsid w:val="7ADF17B7"/>
    <w:rsid w:val="7B386B42"/>
    <w:rsid w:val="7BBC102F"/>
    <w:rsid w:val="7BD509C2"/>
    <w:rsid w:val="7C9625E2"/>
    <w:rsid w:val="7D2A47F3"/>
    <w:rsid w:val="7F9D3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10</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2020-11-17T01:03:58Z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