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44"/>
          <w:szCs w:val="44"/>
        </w:rPr>
        <w:t>铸管水冷电炉变压器室新增空调</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rPr>
        <w:t>月</w:t>
      </w:r>
      <w:r>
        <w:rPr>
          <w:rFonts w:hint="eastAsia"/>
          <w:color w:val="000000"/>
          <w:sz w:val="24"/>
          <w:szCs w:val="24"/>
          <w:u w:val="single"/>
          <w:lang w:val="en-US" w:eastAsia="zh-CN"/>
        </w:rPr>
        <w:t>19</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ZGB</w:t>
      </w:r>
      <w:r>
        <w:rPr>
          <w:rFonts w:hint="eastAsia" w:ascii="宋体" w:hAnsi="宋体"/>
          <w:color w:val="000000"/>
        </w:rPr>
        <w:t>2020</w:t>
      </w:r>
      <w:r>
        <w:rPr>
          <w:rFonts w:hint="eastAsia" w:ascii="宋体" w:hAnsi="宋体"/>
          <w:color w:val="000000"/>
          <w:lang w:val="en-US" w:eastAsia="zh-CN"/>
        </w:rPr>
        <w:t>11</w:t>
      </w:r>
      <w:r>
        <w:rPr>
          <w:rFonts w:hint="eastAsia" w:ascii="宋体" w:hAnsi="宋体"/>
          <w:color w:val="000000"/>
        </w:rPr>
        <w:t>00</w:t>
      </w:r>
      <w:r>
        <w:rPr>
          <w:rFonts w:hint="eastAsia" w:ascii="宋体" w:hAnsi="宋体"/>
          <w:color w:val="000000"/>
          <w:lang w:val="en-US" w:eastAsia="zh-CN"/>
        </w:rPr>
        <w:t>3ZGSLDLBYQSXZKT</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铸管水冷电炉变压器室新增空调</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sz w:val="24"/>
          <w:szCs w:val="24"/>
          <w:lang w:val="en-US" w:eastAsia="zh-CN"/>
        </w:rPr>
        <w:t xml:space="preserve">    </w:t>
      </w:r>
      <w:r>
        <w:rPr>
          <w:rFonts w:hint="eastAsia" w:ascii="宋体" w:hAnsi="宋体"/>
          <w:sz w:val="24"/>
          <w:szCs w:val="24"/>
          <w:lang w:eastAsia="zh-CN"/>
        </w:rPr>
        <w:t>吴春骏</w:t>
      </w:r>
      <w:r>
        <w:rPr>
          <w:rFonts w:hint="eastAsia" w:ascii="宋体" w:hAnsi="宋体"/>
          <w:sz w:val="24"/>
          <w:szCs w:val="24"/>
        </w:rPr>
        <w:t xml:space="preserve">   </w:t>
      </w:r>
      <w:r>
        <w:rPr>
          <w:rFonts w:hint="eastAsia" w:ascii="宋体" w:hAnsi="宋体"/>
          <w:sz w:val="24"/>
          <w:szCs w:val="24"/>
          <w:lang w:val="en-US" w:eastAsia="zh-CN"/>
        </w:rPr>
        <w:t>18155392563</w:t>
      </w:r>
    </w:p>
    <w:p>
      <w:pPr>
        <w:rPr>
          <w:rFonts w:hint="eastAsia" w:ascii="宋体" w:hAnsi="宋体"/>
          <w:sz w:val="24"/>
          <w:szCs w:val="24"/>
          <w:lang w:val="en-US" w:eastAsia="zh-CN"/>
        </w:rPr>
      </w:pPr>
      <w:r>
        <w:rPr>
          <w:rFonts w:hint="eastAsia" w:ascii="宋体" w:hAnsi="宋体"/>
          <w:sz w:val="24"/>
          <w:szCs w:val="24"/>
          <w:lang w:eastAsia="zh-CN"/>
        </w:rPr>
        <w:t>铸管</w:t>
      </w:r>
      <w:r>
        <w:rPr>
          <w:rFonts w:hint="eastAsia" w:ascii="宋体" w:hAnsi="宋体"/>
          <w:sz w:val="24"/>
          <w:szCs w:val="24"/>
        </w:rPr>
        <w:t>部：</w:t>
      </w:r>
      <w:r>
        <w:rPr>
          <w:rFonts w:hint="eastAsia" w:ascii="宋体" w:hAnsi="宋体"/>
          <w:sz w:val="24"/>
          <w:szCs w:val="24"/>
          <w:lang w:val="en-US" w:eastAsia="zh-CN"/>
        </w:rPr>
        <w:t xml:space="preserve">    </w:t>
      </w:r>
      <w:r>
        <w:rPr>
          <w:rFonts w:hint="eastAsia" w:ascii="宋体" w:hAnsi="宋体"/>
          <w:sz w:val="24"/>
          <w:szCs w:val="24"/>
          <w:lang w:eastAsia="zh-CN"/>
        </w:rPr>
        <w:t>要增志</w:t>
      </w:r>
      <w:r>
        <w:rPr>
          <w:rFonts w:hint="eastAsia" w:ascii="宋体" w:hAnsi="宋体"/>
          <w:sz w:val="24"/>
          <w:szCs w:val="24"/>
          <w:lang w:val="en-US" w:eastAsia="zh-CN"/>
        </w:rPr>
        <w:t xml:space="preserve">   15395366360</w:t>
      </w:r>
    </w:p>
    <w:p>
      <w:pPr>
        <w:rPr>
          <w:rFonts w:hint="default" w:ascii="宋体" w:hAnsi="宋体"/>
          <w:sz w:val="24"/>
          <w:szCs w:val="24"/>
          <w:lang w:val="en-US" w:eastAsia="zh-CN"/>
        </w:rPr>
      </w:pPr>
      <w:r>
        <w:rPr>
          <w:rFonts w:hint="eastAsia" w:ascii="宋体" w:hAnsi="宋体"/>
          <w:sz w:val="24"/>
          <w:szCs w:val="24"/>
          <w:lang w:val="en-US" w:eastAsia="zh-CN"/>
        </w:rPr>
        <w:t>工程管理部：王楠     17681337444</w:t>
      </w:r>
    </w:p>
    <w:p>
      <w:pPr>
        <w:rPr>
          <w:rFonts w:ascii="宋体" w:hAnsi="宋体"/>
          <w:sz w:val="24"/>
          <w:szCs w:val="24"/>
        </w:rPr>
      </w:pPr>
      <w:r>
        <w:rPr>
          <w:rFonts w:hint="eastAsia" w:ascii="宋体" w:hAnsi="宋体"/>
          <w:sz w:val="24"/>
          <w:szCs w:val="24"/>
        </w:rPr>
        <w:t>招标办：</w:t>
      </w:r>
      <w:r>
        <w:rPr>
          <w:rFonts w:hint="eastAsia" w:ascii="宋体" w:hAnsi="宋体"/>
          <w:sz w:val="24"/>
          <w:szCs w:val="24"/>
          <w:lang w:val="en-US" w:eastAsia="zh-CN"/>
        </w:rPr>
        <w:t xml:space="preserve">    </w:t>
      </w:r>
      <w:r>
        <w:rPr>
          <w:rFonts w:hint="eastAsia" w:ascii="宋体" w:hAnsi="宋体"/>
          <w:sz w:val="24"/>
          <w:szCs w:val="24"/>
        </w:rPr>
        <w:t xml:space="preserve">杨国琳   18010798955       </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25</w:t>
      </w:r>
      <w:r>
        <w:rPr>
          <w:rFonts w:ascii="宋体" w:hAnsi="宋体"/>
          <w:bCs/>
          <w:sz w:val="24"/>
          <w:szCs w:val="24"/>
        </w:rPr>
        <w:t>日</w:t>
      </w:r>
      <w:r>
        <w:rPr>
          <w:rFonts w:hint="eastAsia" w:ascii="宋体" w:hAnsi="宋体"/>
          <w:bCs/>
          <w:sz w:val="24"/>
          <w:szCs w:val="24"/>
          <w:lang w:val="en-US" w:eastAsia="zh-CN"/>
        </w:rPr>
        <w:t>16：30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Cs/>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27</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ind w:firstLine="1680" w:firstLineChars="700"/>
        <w:rPr>
          <w:rFonts w:hint="eastAsia" w:ascii="宋体" w:hAnsi="宋体"/>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壹万伍仟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lang w:val="en-US" w:eastAsia="zh-CN"/>
        </w:rPr>
        <w:t>25</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959" w:leftChars="228" w:hanging="480" w:hangingChars="200"/>
        <w:rPr>
          <w:rFonts w:hint="eastAsia" w:ascii="宋体" w:hAnsi="宋体" w:eastAsia="宋体" w:cs="宋体"/>
          <w:sz w:val="24"/>
          <w:szCs w:val="24"/>
          <w:lang w:val="en-US" w:eastAsia="zh-CN"/>
        </w:rPr>
      </w:pPr>
      <w:r>
        <w:rPr>
          <w:rFonts w:hint="eastAsia" w:ascii="宋体" w:hAnsi="宋体"/>
          <w:sz w:val="24"/>
          <w:szCs w:val="24"/>
        </w:rPr>
        <w:t>1、</w:t>
      </w:r>
      <w:r>
        <w:rPr>
          <w:rFonts w:hint="eastAsia" w:ascii="宋体" w:hAnsi="宋体"/>
          <w:sz w:val="24"/>
          <w:szCs w:val="24"/>
          <w:lang w:eastAsia="zh-CN"/>
        </w:rPr>
        <w:t>拟</w:t>
      </w:r>
      <w:r>
        <w:rPr>
          <w:rFonts w:hint="eastAsia" w:ascii="宋体" w:hAnsi="宋体"/>
          <w:sz w:val="24"/>
          <w:szCs w:val="24"/>
        </w:rPr>
        <w:t>付款方式：</w:t>
      </w:r>
      <w:r>
        <w:rPr>
          <w:rFonts w:hint="eastAsia" w:ascii="宋体" w:hAnsi="宋体"/>
          <w:sz w:val="24"/>
          <w:szCs w:val="24"/>
          <w:lang w:val="en-US" w:eastAsia="zh-CN"/>
        </w:rPr>
        <w:t>0-6-3-1（</w:t>
      </w:r>
      <w:r>
        <w:rPr>
          <w:rFonts w:hint="eastAsia" w:ascii="宋体" w:hAnsi="宋体"/>
          <w:sz w:val="24"/>
        </w:rPr>
        <w:t>货到付款60%，正常运行三个月付款30%，留10%质保金一年后无质量异议付清</w:t>
      </w:r>
      <w:r>
        <w:rPr>
          <w:rFonts w:hint="eastAsia" w:ascii="宋体" w:hAnsi="宋体"/>
          <w:sz w:val="24"/>
          <w:lang w:eastAsia="zh-CN"/>
        </w:rPr>
        <w:t>）</w:t>
      </w:r>
      <w:r>
        <w:rPr>
          <w:rFonts w:hint="eastAsia" w:ascii="宋体" w:hAnsi="宋体" w:eastAsia="宋体" w:cs="宋体"/>
          <w:sz w:val="24"/>
          <w:szCs w:val="24"/>
          <w:lang w:val="en-US" w:eastAsia="zh-CN"/>
        </w:rPr>
        <w:t>。</w:t>
      </w:r>
      <w:r>
        <w:rPr>
          <w:rFonts w:hint="eastAsia" w:ascii="宋体" w:hAnsi="宋体"/>
          <w:sz w:val="24"/>
        </w:rPr>
        <w:t>结算方式均为6个月银行承兑汇票</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tabs>
          <w:tab w:val="left" w:pos="2680"/>
        </w:tabs>
        <w:ind w:firstLine="480" w:firstLineChars="200"/>
        <w:jc w:val="left"/>
        <w:rPr>
          <w:rFonts w:hint="eastAsia"/>
          <w:sz w:val="24"/>
          <w:szCs w:val="24"/>
          <w:lang w:val="en-US" w:eastAsia="zh-CN"/>
        </w:rPr>
      </w:pPr>
      <w:r>
        <w:rPr>
          <w:rFonts w:hint="eastAsia"/>
          <w:sz w:val="24"/>
          <w:szCs w:val="24"/>
          <w:lang w:val="en-US" w:eastAsia="zh-CN"/>
        </w:rPr>
        <w:t xml:space="preserve">1. </w:t>
      </w:r>
      <w:r>
        <w:rPr>
          <w:rFonts w:hint="eastAsia" w:ascii="Times New Roman" w:hAnsi="Times New Roman"/>
          <w:lang w:val="en-US" w:eastAsia="zh-CN"/>
        </w:rPr>
        <w:t>本次招标项目为</w:t>
      </w:r>
      <w:r>
        <w:rPr>
          <w:rFonts w:hint="eastAsia" w:ascii="宋体" w:hAnsi="宋体"/>
          <w:color w:val="FF0000"/>
        </w:rPr>
        <w:t>铸管水冷电炉变压器室新增空调</w:t>
      </w:r>
      <w:r>
        <w:rPr>
          <w:rFonts w:hint="eastAsia" w:eastAsia="宋体"/>
          <w:vertAlign w:val="baseline"/>
          <w:lang w:val="en-US" w:eastAsia="zh-CN"/>
        </w:rPr>
        <w:t>，明细见下表：</w:t>
      </w:r>
    </w:p>
    <w:tbl>
      <w:tblPr>
        <w:tblStyle w:val="11"/>
        <w:tblpPr w:leftFromText="180" w:rightFromText="180" w:vertAnchor="text" w:horzAnchor="page" w:tblpX="1859" w:tblpY="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7"/>
        <w:gridCol w:w="2069"/>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7"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206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7" w:type="dxa"/>
            <w:noWrap w:val="0"/>
            <w:vAlign w:val="top"/>
          </w:tcPr>
          <w:p>
            <w:pPr>
              <w:tabs>
                <w:tab w:val="left" w:pos="2680"/>
              </w:tabs>
              <w:jc w:val="center"/>
              <w:rPr>
                <w:rFonts w:hint="eastAsia" w:eastAsia="宋体"/>
                <w:vertAlign w:val="baseline"/>
                <w:lang w:val="en-US" w:eastAsia="zh-CN"/>
              </w:rPr>
            </w:pPr>
            <w:r>
              <w:rPr>
                <w:rFonts w:ascii="仿宋_GB2312" w:hAnsi="仿宋_GB2312" w:eastAsia="仿宋_GB2312" w:cs="仿宋_GB2312"/>
              </w:rPr>
              <w:t>工业用模块式风冷冷水机组</w:t>
            </w:r>
          </w:p>
        </w:tc>
        <w:tc>
          <w:tcPr>
            <w:tcW w:w="2069"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4</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7" w:type="dxa"/>
            <w:noWrap w:val="0"/>
            <w:vAlign w:val="top"/>
          </w:tcPr>
          <w:p>
            <w:pPr>
              <w:tabs>
                <w:tab w:val="left" w:pos="2680"/>
              </w:tabs>
              <w:jc w:val="center"/>
              <w:rPr>
                <w:rFonts w:hint="eastAsia" w:eastAsia="宋体"/>
                <w:vertAlign w:val="baseline"/>
                <w:lang w:val="en-US" w:eastAsia="zh-CN"/>
              </w:rPr>
            </w:pPr>
            <w:r>
              <w:rPr>
                <w:rFonts w:ascii="仿宋_GB2312" w:hAnsi="仿宋_GB2312" w:eastAsia="仿宋_GB2312" w:cs="仿宋_GB2312"/>
              </w:rPr>
              <w:t>柜式风机盘管</w:t>
            </w:r>
          </w:p>
        </w:tc>
        <w:tc>
          <w:tcPr>
            <w:tcW w:w="2069"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5</w:t>
            </w:r>
          </w:p>
        </w:tc>
        <w:tc>
          <w:tcPr>
            <w:tcW w:w="2287" w:type="dxa"/>
            <w:noWrap w:val="0"/>
            <w:vAlign w:val="top"/>
          </w:tcPr>
          <w:p>
            <w:pPr>
              <w:tabs>
                <w:tab w:val="left" w:pos="2680"/>
              </w:tabs>
              <w:jc w:val="center"/>
              <w:rPr>
                <w:rFonts w:hint="eastAsia" w:eastAsia="宋体"/>
                <w:vertAlign w:val="baseline"/>
                <w:lang w:val="en-US" w:eastAsia="zh-CN"/>
              </w:rPr>
            </w:pPr>
            <w:r>
              <w:rPr>
                <w:rFonts w:hint="eastAsia"/>
                <w:vertAlign w:val="baseline"/>
                <w:lang w:val="en-US" w:eastAsia="zh-CN"/>
              </w:rPr>
              <w:t>套</w:t>
            </w:r>
          </w:p>
        </w:tc>
      </w:tr>
    </w:tbl>
    <w:p>
      <w:pPr>
        <w:tabs>
          <w:tab w:val="left" w:pos="2680"/>
        </w:tabs>
        <w:ind w:firstLine="480" w:firstLineChars="200"/>
        <w:jc w:val="left"/>
        <w:rPr>
          <w:rFonts w:hint="eastAsia"/>
          <w:sz w:val="24"/>
          <w:szCs w:val="24"/>
          <w:lang w:val="en-US" w:eastAsia="zh-CN"/>
        </w:rPr>
      </w:pPr>
    </w:p>
    <w:p>
      <w:pPr>
        <w:tabs>
          <w:tab w:val="left" w:pos="2680"/>
        </w:tabs>
        <w:ind w:firstLine="480" w:firstLineChars="200"/>
        <w:jc w:val="left"/>
        <w:rPr>
          <w:rFonts w:hint="eastAsia"/>
          <w:sz w:val="24"/>
          <w:szCs w:val="24"/>
          <w:lang w:val="en-US" w:eastAsia="zh-CN"/>
        </w:rPr>
      </w:pPr>
    </w:p>
    <w:p>
      <w:pPr>
        <w:tabs>
          <w:tab w:val="left" w:pos="2680"/>
        </w:tabs>
        <w:ind w:firstLine="480" w:firstLineChars="200"/>
        <w:jc w:val="left"/>
        <w:rPr>
          <w:rFonts w:hint="eastAsia"/>
          <w:sz w:val="24"/>
          <w:szCs w:val="24"/>
          <w:lang w:val="en-US" w:eastAsia="zh-CN"/>
        </w:rPr>
      </w:pPr>
    </w:p>
    <w:p>
      <w:pPr>
        <w:tabs>
          <w:tab w:val="left" w:pos="2680"/>
        </w:tabs>
        <w:jc w:val="left"/>
        <w:rPr>
          <w:rFonts w:hint="eastAsia"/>
          <w:sz w:val="24"/>
          <w:szCs w:val="24"/>
          <w:lang w:val="en-US" w:eastAsia="zh-CN"/>
        </w:rPr>
      </w:pPr>
    </w:p>
    <w:p>
      <w:pPr>
        <w:numPr>
          <w:ilvl w:val="0"/>
          <w:numId w:val="8"/>
        </w:numPr>
        <w:tabs>
          <w:tab w:val="left" w:pos="2680"/>
        </w:tabs>
        <w:ind w:firstLine="480" w:firstLineChars="200"/>
        <w:jc w:val="left"/>
        <w:rPr>
          <w:rFonts w:hint="eastAsia"/>
          <w:sz w:val="24"/>
          <w:szCs w:val="24"/>
        </w:rPr>
      </w:pPr>
      <w:r>
        <w:rPr>
          <w:rFonts w:hint="eastAsia"/>
          <w:sz w:val="24"/>
          <w:szCs w:val="24"/>
        </w:rPr>
        <w:t>技术要求：</w:t>
      </w:r>
      <w:r>
        <w:rPr>
          <w:rFonts w:hint="eastAsia"/>
          <w:sz w:val="24"/>
          <w:szCs w:val="24"/>
          <w:lang w:eastAsia="zh-CN"/>
        </w:rPr>
        <w:t>详见</w:t>
      </w:r>
      <w:bookmarkStart w:id="0" w:name="_GoBack"/>
      <w:r>
        <w:rPr>
          <w:rFonts w:hint="eastAsia"/>
          <w:sz w:val="24"/>
          <w:szCs w:val="24"/>
          <w:lang w:eastAsia="zh-CN"/>
        </w:rPr>
        <w:t>铸管水冷电炉变压器室新增空调技术要求</w:t>
      </w:r>
      <w:bookmarkEnd w:id="0"/>
      <w:r>
        <w:rPr>
          <w:rFonts w:hint="eastAsia"/>
          <w:sz w:val="24"/>
          <w:szCs w:val="24"/>
        </w:rPr>
        <w:t>。</w:t>
      </w:r>
    </w:p>
    <w:p>
      <w:pPr>
        <w:tabs>
          <w:tab w:val="left" w:pos="2680"/>
        </w:tabs>
        <w:ind w:firstLine="480" w:firstLineChars="200"/>
        <w:jc w:val="left"/>
        <w:rPr>
          <w:rFonts w:hint="default" w:eastAsia="宋体"/>
          <w:sz w:val="24"/>
          <w:szCs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sz w:val="24"/>
          <w:szCs w:val="24"/>
        </w:rPr>
        <w:t>各投标单位需了解实际情况，详细交流。</w:t>
      </w:r>
    </w:p>
    <w:p>
      <w:pPr>
        <w:numPr>
          <w:ilvl w:val="0"/>
          <w:numId w:val="0"/>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130</w:t>
      </w:r>
      <w:r>
        <w:rPr>
          <w:rFonts w:hint="eastAsia" w:ascii="宋体" w:hAnsi="宋体"/>
          <w:b/>
          <w:color w:val="FF0000"/>
          <w:sz w:val="24"/>
          <w:szCs w:val="24"/>
        </w:rPr>
        <w:t>万元（大写：</w:t>
      </w:r>
      <w:r>
        <w:rPr>
          <w:rFonts w:hint="eastAsia" w:ascii="宋体" w:hAnsi="宋体"/>
          <w:b/>
          <w:color w:val="FF0000"/>
          <w:sz w:val="24"/>
          <w:szCs w:val="24"/>
          <w:lang w:eastAsia="zh-CN"/>
        </w:rPr>
        <w:t>壹佰叁拾万元整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cs="仿宋_GB2312"/>
          <w:sz w:val="24"/>
          <w:szCs w:val="24"/>
        </w:rPr>
        <w:t>报价表中需详细列出易损件及非标件清单，并对此进行报价，其中标准易损件需要列出准</w:t>
      </w:r>
      <w:r>
        <w:rPr>
          <w:rFonts w:hint="eastAsia" w:ascii="宋体" w:hAnsi="宋体" w:cs="仿宋_GB2312"/>
          <w:color w:val="000000" w:themeColor="text1"/>
          <w:sz w:val="24"/>
          <w:szCs w:val="24"/>
        </w:rPr>
        <w:t>确型号品牌，非标易损件和其他非标件需提供详细制作图纸</w:t>
      </w:r>
      <w:r>
        <w:rPr>
          <w:rFonts w:hint="eastAsia" w:ascii="宋体" w:hAnsi="宋体" w:eastAsia="宋体" w:cs="宋体"/>
          <w:sz w:val="24"/>
          <w:szCs w:val="24"/>
          <w:lang w:eastAsia="zh-CN"/>
        </w:rPr>
        <w:t>。</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cs="仿宋_GB2312"/>
          <w:color w:val="000000" w:themeColor="text1"/>
          <w:sz w:val="24"/>
          <w:szCs w:val="24"/>
        </w:rPr>
        <w:t>相关零件报价及图纸提供情况作为评标参考依据。易损件及非标件价格作为备件参考价格，不得随意涨价</w:t>
      </w:r>
      <w:r>
        <w:rPr>
          <w:rFonts w:hint="eastAsia" w:ascii="宋体" w:hAnsi="宋体" w:eastAsia="宋体" w:cs="宋体"/>
          <w:sz w:val="24"/>
          <w:szCs w:val="24"/>
          <w:lang w:eastAsia="zh-CN"/>
        </w:rPr>
        <w:t>。</w:t>
      </w:r>
    </w:p>
    <w:p>
      <w:pPr>
        <w:numPr>
          <w:ilvl w:val="0"/>
          <w:numId w:val="0"/>
        </w:numPr>
        <w:tabs>
          <w:tab w:val="left" w:pos="2680"/>
        </w:tabs>
        <w:ind w:firstLine="422" w:firstLineChars="200"/>
        <w:jc w:val="left"/>
        <w:rPr>
          <w:rFonts w:hint="eastAsia" w:eastAsia="宋体"/>
          <w:b/>
          <w:bCs/>
          <w:lang w:eastAsia="zh-CN"/>
        </w:rPr>
      </w:pP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19</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rPr>
        <w:t>附件2</w: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p>
      <w:pPr>
        <w:pStyle w:val="9"/>
        <w:widowControl/>
        <w:rPr>
          <w:rFonts w:hint="eastAsia"/>
          <w:b w:val="0"/>
          <w:bCs/>
          <w:sz w:val="28"/>
          <w:szCs w:val="28"/>
          <w:lang w:val="en-US" w:eastAsia="zh-CN"/>
        </w:rPr>
      </w:pPr>
      <w:r>
        <w:rPr>
          <w:b w:val="0"/>
          <w:bCs/>
          <w:sz w:val="28"/>
          <w:szCs w:val="28"/>
        </w:rPr>
        <w:t>附件</w:t>
      </w:r>
      <w:r>
        <w:rPr>
          <w:rFonts w:hint="eastAsia"/>
          <w:b w:val="0"/>
          <w:bCs/>
          <w:sz w:val="28"/>
          <w:szCs w:val="28"/>
          <w:lang w:val="en-US" w:eastAsia="zh-CN"/>
        </w:rPr>
        <w:t>5</w:t>
      </w:r>
    </w:p>
    <w:tbl>
      <w:tblPr>
        <w:tblW w:w="13854" w:type="dxa"/>
        <w:tblInd w:w="0" w:type="dxa"/>
        <w:shd w:val="clear"/>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bdr w:val="none" w:color="auto" w:sz="0" w:space="0"/>
                <w:lang w:val="en-US" w:eastAsia="zh-CN" w:bidi="ar"/>
              </w:rPr>
              <w:t>铸管水冷电炉变压器室新增空调报价明细表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单</w:t>
            </w:r>
            <w:r>
              <w:rPr>
                <w:rFonts w:hint="default" w:ascii="Times New Roman" w:hAnsi="Times New Roman" w:eastAsia="宋体" w:cs="Times New Roman"/>
                <w:i w:val="0"/>
                <w:color w:val="000000"/>
                <w:kern w:val="0"/>
                <w:sz w:val="24"/>
                <w:szCs w:val="24"/>
                <w:u w:val="none"/>
                <w:bdr w:val="none" w:color="auto" w:sz="0" w:space="0"/>
                <w:lang w:val="en-US" w:eastAsia="zh-CN" w:bidi="ar"/>
              </w:rPr>
              <w:t xml:space="preserve"> </w:t>
            </w:r>
            <w:r>
              <w:rPr>
                <w:rFonts w:hint="eastAsia" w:ascii="宋体" w:hAnsi="宋体" w:eastAsia="宋体" w:cs="宋体"/>
                <w:i w:val="0"/>
                <w:color w:val="000000"/>
                <w:kern w:val="0"/>
                <w:sz w:val="24"/>
                <w:szCs w:val="24"/>
                <w:u w:val="none"/>
                <w:bdr w:val="none" w:color="auto" w:sz="0" w:space="0"/>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总</w:t>
            </w:r>
            <w:r>
              <w:rPr>
                <w:rFonts w:hint="default" w:ascii="Times New Roman" w:hAnsi="Times New Roman" w:eastAsia="宋体" w:cs="Times New Roman"/>
                <w:i w:val="0"/>
                <w:color w:val="000000"/>
                <w:kern w:val="0"/>
                <w:sz w:val="24"/>
                <w:szCs w:val="24"/>
                <w:u w:val="none"/>
                <w:bdr w:val="none" w:color="auto" w:sz="0" w:space="0"/>
                <w:lang w:val="en-US" w:eastAsia="zh-CN" w:bidi="ar"/>
              </w:rPr>
              <w:t xml:space="preserve"> </w:t>
            </w:r>
            <w:r>
              <w:rPr>
                <w:rFonts w:hint="eastAsia" w:ascii="宋体" w:hAnsi="宋体" w:eastAsia="宋体" w:cs="宋体"/>
                <w:i w:val="0"/>
                <w:color w:val="000000"/>
                <w:kern w:val="0"/>
                <w:sz w:val="24"/>
                <w:szCs w:val="24"/>
                <w:u w:val="none"/>
                <w:bdr w:val="none" w:color="auto" w:sz="0" w:space="0"/>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w:t>
            </w:r>
            <w:r>
              <w:rPr>
                <w:rFonts w:hint="default" w:ascii="Times New Roman" w:hAnsi="Times New Roman" w:eastAsia="宋体" w:cs="Times New Roman"/>
                <w:i w:val="0"/>
                <w:color w:val="000000"/>
                <w:kern w:val="0"/>
                <w:sz w:val="24"/>
                <w:szCs w:val="24"/>
                <w:u w:val="none"/>
                <w:bdr w:val="none" w:color="auto" w:sz="0" w:space="0"/>
                <w:lang w:val="en-US" w:eastAsia="zh-CN" w:bidi="ar"/>
              </w:rPr>
              <w:t>T</w:t>
            </w:r>
            <w:r>
              <w:rPr>
                <w:rFonts w:hint="eastAsia" w:ascii="宋体" w:hAnsi="宋体" w:eastAsia="宋体" w:cs="宋体"/>
                <w:i w:val="0"/>
                <w:color w:val="000000"/>
                <w:kern w:val="0"/>
                <w:sz w:val="24"/>
                <w:szCs w:val="24"/>
                <w:u w:val="none"/>
                <w:bdr w:val="none" w:color="auto" w:sz="0" w:space="0"/>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w:t>
            </w:r>
            <w:r>
              <w:rPr>
                <w:rFonts w:hint="default" w:ascii="Times New Roman" w:hAnsi="Times New Roman" w:eastAsia="宋体" w:cs="Times New Roman"/>
                <w:i w:val="0"/>
                <w:color w:val="000000"/>
                <w:kern w:val="0"/>
                <w:sz w:val="24"/>
                <w:szCs w:val="24"/>
                <w:u w:val="none"/>
                <w:bdr w:val="none" w:color="auto" w:sz="0" w:space="0"/>
                <w:lang w:val="en-US" w:eastAsia="zh-CN" w:bidi="ar"/>
              </w:rPr>
              <w:t>T</w:t>
            </w:r>
            <w:r>
              <w:rPr>
                <w:rFonts w:hint="eastAsia" w:ascii="宋体" w:hAnsi="宋体" w:eastAsia="宋体" w:cs="宋体"/>
                <w:i w:val="0"/>
                <w:color w:val="000000"/>
                <w:kern w:val="0"/>
                <w:sz w:val="24"/>
                <w:szCs w:val="24"/>
                <w:u w:val="none"/>
                <w:bdr w:val="none" w:color="auto" w:sz="0" w:space="0"/>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bdr w:val="none" w:color="auto" w:sz="0" w:space="0"/>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bdr w:val="none" w:color="auto" w:sz="0" w:space="0"/>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bdr w:val="none" w:color="auto" w:sz="0" w:space="0"/>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bdr w:val="none" w:color="auto" w:sz="0" w:space="0"/>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bdr w:val="none" w:color="auto" w:sz="0" w:space="0"/>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r>
        <w:rPr>
          <w:b w:val="0"/>
          <w:bCs/>
          <w:sz w:val="28"/>
          <w:szCs w:val="28"/>
        </w:rPr>
        <w:t xml:space="preserve"> </w:t>
      </w:r>
    </w:p>
    <w:tbl>
      <w:tblPr>
        <w:tblW w:w="13813" w:type="dxa"/>
        <w:tblInd w:w="0" w:type="dxa"/>
        <w:shd w:val="clear"/>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易损件报价清单</w:t>
            </w:r>
          </w:p>
        </w:tc>
        <w:tc>
          <w:tcPr>
            <w:tcW w:w="106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是否提供图纸（是/否）</w:t>
            </w:r>
          </w:p>
        </w:tc>
        <w:tc>
          <w:tcPr>
            <w:tcW w:w="106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AFBB56D"/>
    <w:multiLevelType w:val="singleLevel"/>
    <w:tmpl w:val="2AFBB56D"/>
    <w:lvl w:ilvl="0" w:tentative="0">
      <w:start w:val="2"/>
      <w:numFmt w:val="decimal"/>
      <w:suff w:val="space"/>
      <w:lvlText w:val="%1."/>
      <w:lvlJc w:val="left"/>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7"/>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701115F"/>
    <w:rsid w:val="0831406E"/>
    <w:rsid w:val="08A96692"/>
    <w:rsid w:val="0AA80F02"/>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730BDE"/>
    <w:rsid w:val="1CCB1E53"/>
    <w:rsid w:val="1D2E11E1"/>
    <w:rsid w:val="1E937D02"/>
    <w:rsid w:val="1EA54788"/>
    <w:rsid w:val="1F4242F7"/>
    <w:rsid w:val="1F802445"/>
    <w:rsid w:val="203C28CE"/>
    <w:rsid w:val="21133B37"/>
    <w:rsid w:val="21534F77"/>
    <w:rsid w:val="21A2160C"/>
    <w:rsid w:val="22B96773"/>
    <w:rsid w:val="22E00851"/>
    <w:rsid w:val="23D22DCD"/>
    <w:rsid w:val="25B129B0"/>
    <w:rsid w:val="26F50CB1"/>
    <w:rsid w:val="278055FF"/>
    <w:rsid w:val="288D3DC5"/>
    <w:rsid w:val="28E2171B"/>
    <w:rsid w:val="29401D6D"/>
    <w:rsid w:val="2B9A196C"/>
    <w:rsid w:val="2BF40243"/>
    <w:rsid w:val="2C204052"/>
    <w:rsid w:val="2C4E01C4"/>
    <w:rsid w:val="2CF31D5E"/>
    <w:rsid w:val="2E3D1B0F"/>
    <w:rsid w:val="2E4345D8"/>
    <w:rsid w:val="3036622A"/>
    <w:rsid w:val="30CA3841"/>
    <w:rsid w:val="3130279D"/>
    <w:rsid w:val="35212328"/>
    <w:rsid w:val="35997E95"/>
    <w:rsid w:val="36A65EF8"/>
    <w:rsid w:val="373827F1"/>
    <w:rsid w:val="374214E9"/>
    <w:rsid w:val="379345D1"/>
    <w:rsid w:val="37974BFF"/>
    <w:rsid w:val="37BE23C2"/>
    <w:rsid w:val="387F2F2C"/>
    <w:rsid w:val="38B84B41"/>
    <w:rsid w:val="390D54AD"/>
    <w:rsid w:val="3A3F65BD"/>
    <w:rsid w:val="3A773720"/>
    <w:rsid w:val="3C456A69"/>
    <w:rsid w:val="3C487023"/>
    <w:rsid w:val="3C887586"/>
    <w:rsid w:val="3D5A40AB"/>
    <w:rsid w:val="3DB441B2"/>
    <w:rsid w:val="3E371640"/>
    <w:rsid w:val="3EB93F1F"/>
    <w:rsid w:val="3F0B65A3"/>
    <w:rsid w:val="41394D83"/>
    <w:rsid w:val="41A706B0"/>
    <w:rsid w:val="42292AE8"/>
    <w:rsid w:val="422E1FDF"/>
    <w:rsid w:val="423C71D1"/>
    <w:rsid w:val="426213B7"/>
    <w:rsid w:val="42CE1EFE"/>
    <w:rsid w:val="4500284B"/>
    <w:rsid w:val="45407B03"/>
    <w:rsid w:val="455A1E29"/>
    <w:rsid w:val="45C004AA"/>
    <w:rsid w:val="47AD4330"/>
    <w:rsid w:val="47DF42C8"/>
    <w:rsid w:val="49280B38"/>
    <w:rsid w:val="4B635392"/>
    <w:rsid w:val="4BA21255"/>
    <w:rsid w:val="4DC66F68"/>
    <w:rsid w:val="518D2140"/>
    <w:rsid w:val="51A458AF"/>
    <w:rsid w:val="527641F5"/>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D71557"/>
    <w:rsid w:val="6F4860A5"/>
    <w:rsid w:val="706A3FF6"/>
    <w:rsid w:val="70D03715"/>
    <w:rsid w:val="70E0155E"/>
    <w:rsid w:val="711219DD"/>
    <w:rsid w:val="71826C8A"/>
    <w:rsid w:val="71F96DCA"/>
    <w:rsid w:val="732D2693"/>
    <w:rsid w:val="7357254E"/>
    <w:rsid w:val="73611393"/>
    <w:rsid w:val="76206BC5"/>
    <w:rsid w:val="778A5616"/>
    <w:rsid w:val="780E1C86"/>
    <w:rsid w:val="790532F9"/>
    <w:rsid w:val="797A02ED"/>
    <w:rsid w:val="79B23223"/>
    <w:rsid w:val="79DE1204"/>
    <w:rsid w:val="7A6263B1"/>
    <w:rsid w:val="7ADF17B7"/>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 w:type="character" w:customStyle="1" w:styleId="26">
    <w:name w:val="font61"/>
    <w:basedOn w:val="12"/>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49</TotalTime>
  <ScaleCrop>false</ScaleCrop>
  <LinksUpToDate>false</LinksUpToDate>
  <CharactersWithSpaces>5037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2020-11-19T03:56:19Z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