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bookmarkStart w:id="0" w:name="_GoBack"/>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炼铁用铁水罐耐材及维护</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SC202011013TSGNCJWH</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炼铁用铁水罐耐材及维护</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炼铁部：       陈  工    13205533103</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15日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bookmarkEnd w:id="0"/>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10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满足炼</w:t>
      </w:r>
      <w:r>
        <w:rPr>
          <w:rFonts w:hint="eastAsia" w:ascii="宋体" w:hAnsi="宋体"/>
          <w:b/>
          <w:color w:val="FF0000"/>
          <w:sz w:val="24"/>
          <w:szCs w:val="24"/>
          <w:lang w:val="en-US" w:eastAsia="zh-CN"/>
        </w:rPr>
        <w:t>铁</w:t>
      </w:r>
      <w:r>
        <w:rPr>
          <w:rFonts w:hint="eastAsia" w:ascii="宋体" w:hAnsi="宋体"/>
          <w:b/>
          <w:color w:val="FF0000"/>
          <w:sz w:val="24"/>
          <w:szCs w:val="24"/>
        </w:rPr>
        <w:t>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理论过铁量约295万吨铁/年（仅供参考），以炼铁实际产量为准</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要求提供</w:t>
      </w:r>
      <w:r>
        <w:rPr>
          <w:rFonts w:hint="eastAsia" w:ascii="宋体" w:hAnsi="宋体"/>
          <w:b/>
          <w:color w:val="FF0000"/>
          <w:sz w:val="24"/>
          <w:szCs w:val="24"/>
          <w:lang w:val="en-US" w:eastAsia="zh-CN"/>
        </w:rPr>
        <w:t>近两年1-3家大型</w:t>
      </w:r>
      <w:r>
        <w:rPr>
          <w:rFonts w:hint="eastAsia" w:ascii="宋体" w:hAnsi="宋体"/>
          <w:b/>
          <w:color w:val="FF0000"/>
          <w:sz w:val="24"/>
          <w:szCs w:val="24"/>
        </w:rPr>
        <w:t>钢厂</w:t>
      </w:r>
      <w:r>
        <w:rPr>
          <w:rFonts w:hint="eastAsia" w:ascii="宋体" w:hAnsi="宋体"/>
          <w:b/>
          <w:color w:val="FF0000"/>
          <w:sz w:val="24"/>
          <w:szCs w:val="24"/>
          <w:lang w:val="en-US" w:eastAsia="zh-CN"/>
        </w:rPr>
        <w:t>铁水罐承包业绩</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eastAsia="zh-CN"/>
        </w:rPr>
        <w:t>本次招标要求中标后按要求缴纳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招标合同执行周期为一年；</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1.61</w:t>
      </w:r>
      <w:r>
        <w:rPr>
          <w:rFonts w:hint="eastAsia" w:ascii="宋体" w:hAnsi="宋体"/>
          <w:b/>
          <w:color w:val="FF0000"/>
          <w:sz w:val="24"/>
          <w:szCs w:val="24"/>
        </w:rPr>
        <w:t>元</w:t>
      </w:r>
      <w:r>
        <w:rPr>
          <w:rFonts w:hint="eastAsia" w:ascii="宋体" w:hAnsi="宋体"/>
          <w:b/>
          <w:color w:val="FF0000"/>
          <w:sz w:val="24"/>
          <w:szCs w:val="24"/>
          <w:lang w:val="en-US" w:eastAsia="zh-CN"/>
        </w:rPr>
        <w:t>/吨铁</w:t>
      </w:r>
      <w:r>
        <w:rPr>
          <w:rFonts w:hint="eastAsia" w:ascii="宋体" w:hAnsi="宋体"/>
          <w:b/>
          <w:color w:val="FF0000"/>
          <w:sz w:val="24"/>
          <w:szCs w:val="24"/>
        </w:rPr>
        <w:t>（大写：</w:t>
      </w:r>
      <w:r>
        <w:rPr>
          <w:rFonts w:hint="eastAsia" w:ascii="宋体" w:hAnsi="宋体"/>
          <w:b/>
          <w:color w:val="FF0000"/>
          <w:sz w:val="24"/>
          <w:szCs w:val="24"/>
          <w:lang w:val="en-US" w:eastAsia="zh-CN"/>
        </w:rPr>
        <w:t>壹元陆角壹分每吨铁</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p>
    <w:p>
      <w:pPr>
        <w:tabs>
          <w:tab w:val="left" w:pos="420"/>
          <w:tab w:val="left" w:pos="630"/>
        </w:tabs>
        <w:spacing w:line="300" w:lineRule="auto"/>
        <w:jc w:val="both"/>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炼铁用铁水罐耐材及维护</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pPr w:leftFromText="180" w:rightFromText="180" w:vertAnchor="text" w:horzAnchor="page" w:tblpX="1173" w:tblpY="635"/>
        <w:tblOverlap w:val="never"/>
        <w:tblW w:w="58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286"/>
        <w:gridCol w:w="4597"/>
        <w:gridCol w:w="110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5" w:type="pct"/>
            <w:noWrap w:val="0"/>
            <w:vAlign w:val="center"/>
          </w:tcPr>
          <w:p>
            <w:pPr>
              <w:jc w:val="center"/>
              <w:rPr>
                <w:rFonts w:hint="eastAsia"/>
                <w:sz w:val="18"/>
                <w:szCs w:val="18"/>
              </w:rPr>
            </w:pPr>
            <w:r>
              <w:rPr>
                <w:rFonts w:hint="eastAsia"/>
                <w:sz w:val="18"/>
                <w:szCs w:val="18"/>
              </w:rPr>
              <w:t>序号</w:t>
            </w:r>
          </w:p>
        </w:tc>
        <w:tc>
          <w:tcPr>
            <w:tcW w:w="1148"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309" w:type="pct"/>
            <w:noWrap w:val="0"/>
            <w:vAlign w:val="center"/>
          </w:tcPr>
          <w:p>
            <w:pPr>
              <w:jc w:val="center"/>
              <w:rPr>
                <w:rFonts w:hint="eastAsia"/>
                <w:sz w:val="18"/>
                <w:szCs w:val="18"/>
              </w:rPr>
            </w:pPr>
            <w:r>
              <w:rPr>
                <w:rFonts w:hint="eastAsia"/>
                <w:sz w:val="18"/>
                <w:szCs w:val="18"/>
              </w:rPr>
              <w:t>含税、含运费报价（元/吨</w:t>
            </w:r>
            <w:r>
              <w:rPr>
                <w:rFonts w:hint="eastAsia"/>
                <w:sz w:val="18"/>
                <w:szCs w:val="18"/>
                <w:lang w:val="en-US" w:eastAsia="zh-CN"/>
              </w:rPr>
              <w:t>铁</w:t>
            </w:r>
            <w:r>
              <w:rPr>
                <w:rFonts w:hint="eastAsia"/>
                <w:sz w:val="18"/>
                <w:szCs w:val="18"/>
              </w:rPr>
              <w:t>）</w:t>
            </w:r>
          </w:p>
        </w:tc>
        <w:tc>
          <w:tcPr>
            <w:tcW w:w="555" w:type="pct"/>
            <w:noWrap w:val="0"/>
            <w:vAlign w:val="center"/>
          </w:tcPr>
          <w:p>
            <w:pPr>
              <w:jc w:val="center"/>
              <w:rPr>
                <w:rFonts w:hint="eastAsia"/>
                <w:sz w:val="18"/>
                <w:szCs w:val="18"/>
              </w:rPr>
            </w:pPr>
            <w:r>
              <w:rPr>
                <w:rFonts w:hint="eastAsia"/>
                <w:sz w:val="18"/>
                <w:szCs w:val="18"/>
              </w:rPr>
              <w:t>税率</w:t>
            </w:r>
          </w:p>
        </w:tc>
        <w:tc>
          <w:tcPr>
            <w:tcW w:w="639"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45" w:type="pct"/>
            <w:vMerge w:val="restart"/>
            <w:noWrap w:val="0"/>
            <w:vAlign w:val="center"/>
          </w:tcPr>
          <w:p>
            <w:pPr>
              <w:jc w:val="center"/>
              <w:rPr>
                <w:sz w:val="24"/>
                <w:szCs w:val="24"/>
              </w:rPr>
            </w:pPr>
            <w:r>
              <w:rPr>
                <w:rFonts w:hint="eastAsia"/>
                <w:sz w:val="24"/>
                <w:szCs w:val="24"/>
              </w:rPr>
              <w:t>1</w:t>
            </w:r>
          </w:p>
        </w:tc>
        <w:tc>
          <w:tcPr>
            <w:tcW w:w="1148"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u w:val="none"/>
                <w:lang w:val="en-US" w:eastAsia="zh-CN"/>
              </w:rPr>
              <w:t>炼铁用铁水罐耐材及维护</w:t>
            </w:r>
          </w:p>
        </w:tc>
        <w:tc>
          <w:tcPr>
            <w:tcW w:w="2309"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（元/吨</w:t>
            </w:r>
            <w:r>
              <w:rPr>
                <w:rFonts w:hint="eastAsia"/>
                <w:sz w:val="18"/>
                <w:szCs w:val="18"/>
                <w:lang w:val="en-US" w:eastAsia="zh-CN"/>
              </w:rPr>
              <w:t>铁</w:t>
            </w:r>
            <w:r>
              <w:rPr>
                <w:rFonts w:hint="eastAsia"/>
                <w:sz w:val="18"/>
                <w:szCs w:val="18"/>
              </w:rPr>
              <w:t>）</w:t>
            </w:r>
          </w:p>
        </w:tc>
        <w:tc>
          <w:tcPr>
            <w:tcW w:w="555" w:type="pct"/>
            <w:vMerge w:val="restart"/>
            <w:noWrap w:val="0"/>
            <w:vAlign w:val="top"/>
          </w:tcPr>
          <w:p>
            <w:pPr>
              <w:jc w:val="center"/>
              <w:rPr>
                <w:rFonts w:hint="eastAsia"/>
                <w:sz w:val="28"/>
                <w:szCs w:val="28"/>
              </w:rPr>
            </w:pPr>
          </w:p>
        </w:tc>
        <w:tc>
          <w:tcPr>
            <w:tcW w:w="639" w:type="pct"/>
            <w:vMerge w:val="restart"/>
            <w:noWrap w:val="0"/>
            <w:vAlign w:val="top"/>
          </w:tcPr>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45" w:type="pct"/>
            <w:vMerge w:val="continue"/>
            <w:noWrap w:val="0"/>
            <w:vAlign w:val="center"/>
          </w:tcPr>
          <w:p>
            <w:pPr>
              <w:jc w:val="center"/>
              <w:rPr>
                <w:rFonts w:hint="eastAsia"/>
                <w:sz w:val="24"/>
                <w:szCs w:val="24"/>
              </w:rPr>
            </w:pPr>
          </w:p>
        </w:tc>
        <w:tc>
          <w:tcPr>
            <w:tcW w:w="1148" w:type="pct"/>
            <w:vMerge w:val="continue"/>
            <w:noWrap w:val="0"/>
            <w:vAlign w:val="center"/>
          </w:tcPr>
          <w:p>
            <w:pPr>
              <w:jc w:val="center"/>
              <w:rPr>
                <w:rFonts w:hint="eastAsia"/>
                <w:sz w:val="24"/>
                <w:szCs w:val="24"/>
              </w:rPr>
            </w:pPr>
          </w:p>
        </w:tc>
        <w:tc>
          <w:tcPr>
            <w:tcW w:w="2309" w:type="pct"/>
            <w:noWrap w:val="0"/>
            <w:vAlign w:val="top"/>
          </w:tcPr>
          <w:p>
            <w:pPr>
              <w:jc w:val="left"/>
              <w:rPr>
                <w:rFonts w:hint="eastAsia"/>
                <w:sz w:val="24"/>
                <w:szCs w:val="24"/>
              </w:rPr>
            </w:pPr>
          </w:p>
          <w:p>
            <w:pPr>
              <w:tabs>
                <w:tab w:val="left" w:pos="3061"/>
              </w:tabs>
              <w:jc w:val="left"/>
              <w:rPr>
                <w:rFonts w:hint="eastAsia" w:eastAsia="宋体"/>
                <w:sz w:val="24"/>
                <w:szCs w:val="24"/>
                <w:lang w:eastAsia="zh-CN"/>
              </w:rPr>
            </w:pPr>
            <w:r>
              <w:rPr>
                <w:rFonts w:hint="eastAsia"/>
                <w:sz w:val="24"/>
                <w:szCs w:val="24"/>
              </w:rPr>
              <w:t>大写：</w:t>
            </w:r>
            <w:r>
              <w:rPr>
                <w:rFonts w:hint="eastAsia"/>
                <w:sz w:val="24"/>
                <w:szCs w:val="24"/>
                <w:lang w:val="en-US" w:eastAsia="zh-CN"/>
              </w:rPr>
              <w:t xml:space="preserve">                    </w:t>
            </w:r>
            <w:r>
              <w:rPr>
                <w:rFonts w:hint="eastAsia"/>
                <w:sz w:val="18"/>
                <w:szCs w:val="18"/>
              </w:rPr>
              <w:t>（元/吨</w:t>
            </w:r>
            <w:r>
              <w:rPr>
                <w:rFonts w:hint="eastAsia"/>
                <w:sz w:val="18"/>
                <w:szCs w:val="18"/>
                <w:lang w:val="en-US" w:eastAsia="zh-CN"/>
              </w:rPr>
              <w:t>铁</w:t>
            </w:r>
            <w:r>
              <w:rPr>
                <w:rFonts w:hint="eastAsia"/>
                <w:sz w:val="18"/>
                <w:szCs w:val="18"/>
              </w:rPr>
              <w:t>）</w:t>
            </w:r>
          </w:p>
        </w:tc>
        <w:tc>
          <w:tcPr>
            <w:tcW w:w="555" w:type="pct"/>
            <w:vMerge w:val="continue"/>
            <w:noWrap w:val="0"/>
            <w:vAlign w:val="top"/>
          </w:tcPr>
          <w:p>
            <w:pPr>
              <w:jc w:val="center"/>
              <w:rPr>
                <w:rFonts w:hint="eastAsia"/>
                <w:sz w:val="28"/>
                <w:szCs w:val="28"/>
              </w:rPr>
            </w:pPr>
          </w:p>
        </w:tc>
        <w:tc>
          <w:tcPr>
            <w:tcW w:w="639"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5"/>
            <w:noWrap w:val="0"/>
            <w:vAlign w:val="top"/>
          </w:tcPr>
          <w:p>
            <w:pPr>
              <w:rPr>
                <w:rFonts w:hint="eastAsia" w:eastAsia="宋体"/>
                <w:sz w:val="28"/>
                <w:szCs w:val="28"/>
                <w:lang w:eastAsia="zh-CN"/>
              </w:rPr>
            </w:pPr>
            <w:r>
              <w:rPr>
                <w:rFonts w:hint="eastAsia"/>
                <w:sz w:val="28"/>
                <w:szCs w:val="28"/>
              </w:rPr>
              <w:t>备注: 以上报价含税、含运费，一票制</w:t>
            </w:r>
            <w:r>
              <w:rPr>
                <w:rFonts w:hint="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3D3A17"/>
    <w:rsid w:val="038D2F19"/>
    <w:rsid w:val="04256F21"/>
    <w:rsid w:val="043C4162"/>
    <w:rsid w:val="04823B21"/>
    <w:rsid w:val="05325D34"/>
    <w:rsid w:val="053B5FB3"/>
    <w:rsid w:val="0580290F"/>
    <w:rsid w:val="05C52E89"/>
    <w:rsid w:val="06CB7169"/>
    <w:rsid w:val="07BA48CA"/>
    <w:rsid w:val="0831406E"/>
    <w:rsid w:val="085B58B3"/>
    <w:rsid w:val="08A96692"/>
    <w:rsid w:val="09FF5A6C"/>
    <w:rsid w:val="0B507C6D"/>
    <w:rsid w:val="0B526D7F"/>
    <w:rsid w:val="0B5E1A54"/>
    <w:rsid w:val="0BFF25BD"/>
    <w:rsid w:val="0CBC295F"/>
    <w:rsid w:val="0DF07D84"/>
    <w:rsid w:val="0E497616"/>
    <w:rsid w:val="0E842CB1"/>
    <w:rsid w:val="0F0803D8"/>
    <w:rsid w:val="0F347211"/>
    <w:rsid w:val="0F833571"/>
    <w:rsid w:val="10CA64E1"/>
    <w:rsid w:val="110928F7"/>
    <w:rsid w:val="11654D47"/>
    <w:rsid w:val="135C10D5"/>
    <w:rsid w:val="139F3DA1"/>
    <w:rsid w:val="13D576D7"/>
    <w:rsid w:val="154D48F1"/>
    <w:rsid w:val="16541AFE"/>
    <w:rsid w:val="1694444C"/>
    <w:rsid w:val="17F97F08"/>
    <w:rsid w:val="18560C92"/>
    <w:rsid w:val="18ED4DB4"/>
    <w:rsid w:val="198F3A53"/>
    <w:rsid w:val="19B16948"/>
    <w:rsid w:val="19B20161"/>
    <w:rsid w:val="1A8A6D05"/>
    <w:rsid w:val="1C430554"/>
    <w:rsid w:val="1CCB1E53"/>
    <w:rsid w:val="1D2E11E1"/>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4E74EA"/>
    <w:rsid w:val="246A25A2"/>
    <w:rsid w:val="25206CD2"/>
    <w:rsid w:val="25230E4D"/>
    <w:rsid w:val="25B129B0"/>
    <w:rsid w:val="26F50CB1"/>
    <w:rsid w:val="26F906B4"/>
    <w:rsid w:val="278055FF"/>
    <w:rsid w:val="288D3DC5"/>
    <w:rsid w:val="28E2171B"/>
    <w:rsid w:val="29401D6D"/>
    <w:rsid w:val="2B7E6876"/>
    <w:rsid w:val="2BBB5AD5"/>
    <w:rsid w:val="2BDC6DDA"/>
    <w:rsid w:val="2BF10F3E"/>
    <w:rsid w:val="2BF40243"/>
    <w:rsid w:val="2C204052"/>
    <w:rsid w:val="2C4E01C4"/>
    <w:rsid w:val="2CF31D5E"/>
    <w:rsid w:val="2E2637B7"/>
    <w:rsid w:val="2E3D1B0F"/>
    <w:rsid w:val="2EDD294B"/>
    <w:rsid w:val="3036622A"/>
    <w:rsid w:val="30CA3841"/>
    <w:rsid w:val="3130279D"/>
    <w:rsid w:val="31DF7B93"/>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BF82410"/>
    <w:rsid w:val="3C456A69"/>
    <w:rsid w:val="3C487023"/>
    <w:rsid w:val="3C887586"/>
    <w:rsid w:val="3CD55FCF"/>
    <w:rsid w:val="3D5A40AB"/>
    <w:rsid w:val="3DB441B2"/>
    <w:rsid w:val="3DD2066D"/>
    <w:rsid w:val="3E2A6837"/>
    <w:rsid w:val="3E371640"/>
    <w:rsid w:val="3E895515"/>
    <w:rsid w:val="3EB93F1F"/>
    <w:rsid w:val="3EF869AA"/>
    <w:rsid w:val="3F0B65A3"/>
    <w:rsid w:val="3FC82DB5"/>
    <w:rsid w:val="3FD2579C"/>
    <w:rsid w:val="404A6AC9"/>
    <w:rsid w:val="405A39FB"/>
    <w:rsid w:val="41394D83"/>
    <w:rsid w:val="41A706B0"/>
    <w:rsid w:val="41BF02F4"/>
    <w:rsid w:val="422E1FDF"/>
    <w:rsid w:val="423C71D1"/>
    <w:rsid w:val="426213B7"/>
    <w:rsid w:val="42CE1EFE"/>
    <w:rsid w:val="443E7431"/>
    <w:rsid w:val="4500284B"/>
    <w:rsid w:val="45407B03"/>
    <w:rsid w:val="45C004AA"/>
    <w:rsid w:val="47847BD9"/>
    <w:rsid w:val="47AD4330"/>
    <w:rsid w:val="48E1049E"/>
    <w:rsid w:val="49280B38"/>
    <w:rsid w:val="492C5B3D"/>
    <w:rsid w:val="49C24D5F"/>
    <w:rsid w:val="4A9565C9"/>
    <w:rsid w:val="4AC42B52"/>
    <w:rsid w:val="4B2033F6"/>
    <w:rsid w:val="4B635392"/>
    <w:rsid w:val="4BA21255"/>
    <w:rsid w:val="4CE932DD"/>
    <w:rsid w:val="4DC66F68"/>
    <w:rsid w:val="4FCD79F0"/>
    <w:rsid w:val="514F2EE0"/>
    <w:rsid w:val="51A458AF"/>
    <w:rsid w:val="52E54E97"/>
    <w:rsid w:val="52EE0AE7"/>
    <w:rsid w:val="551167EF"/>
    <w:rsid w:val="554C057B"/>
    <w:rsid w:val="562E1D47"/>
    <w:rsid w:val="566E6D8E"/>
    <w:rsid w:val="56FF0A43"/>
    <w:rsid w:val="57AC75B3"/>
    <w:rsid w:val="57D705F2"/>
    <w:rsid w:val="58F93D3D"/>
    <w:rsid w:val="598A03E4"/>
    <w:rsid w:val="5AAF6E02"/>
    <w:rsid w:val="5AEA3AD0"/>
    <w:rsid w:val="5B1D2529"/>
    <w:rsid w:val="5B35349E"/>
    <w:rsid w:val="5B521F97"/>
    <w:rsid w:val="5BA959B9"/>
    <w:rsid w:val="5D173705"/>
    <w:rsid w:val="5D1B4B8A"/>
    <w:rsid w:val="5D915ACD"/>
    <w:rsid w:val="5E611270"/>
    <w:rsid w:val="5EAC75B1"/>
    <w:rsid w:val="5EB2026E"/>
    <w:rsid w:val="5ED172D9"/>
    <w:rsid w:val="608E705B"/>
    <w:rsid w:val="61033D16"/>
    <w:rsid w:val="625B24D7"/>
    <w:rsid w:val="62CD795C"/>
    <w:rsid w:val="64C322D2"/>
    <w:rsid w:val="66EA0C9A"/>
    <w:rsid w:val="66FB3BC1"/>
    <w:rsid w:val="678F7868"/>
    <w:rsid w:val="68985C4A"/>
    <w:rsid w:val="68BB275A"/>
    <w:rsid w:val="695E0A51"/>
    <w:rsid w:val="6AE713EB"/>
    <w:rsid w:val="6C7B13C4"/>
    <w:rsid w:val="6CA73029"/>
    <w:rsid w:val="6D027CD6"/>
    <w:rsid w:val="6D317D65"/>
    <w:rsid w:val="6DD71BCE"/>
    <w:rsid w:val="6E550ED4"/>
    <w:rsid w:val="6EA5652C"/>
    <w:rsid w:val="6ED71557"/>
    <w:rsid w:val="706A3FF6"/>
    <w:rsid w:val="70D03715"/>
    <w:rsid w:val="70E0155E"/>
    <w:rsid w:val="711219DD"/>
    <w:rsid w:val="71F96DCA"/>
    <w:rsid w:val="72107C5B"/>
    <w:rsid w:val="73144531"/>
    <w:rsid w:val="732D2693"/>
    <w:rsid w:val="7357254E"/>
    <w:rsid w:val="73611393"/>
    <w:rsid w:val="749D6575"/>
    <w:rsid w:val="754F1E1A"/>
    <w:rsid w:val="761859F6"/>
    <w:rsid w:val="76206BC5"/>
    <w:rsid w:val="770071D6"/>
    <w:rsid w:val="778A5616"/>
    <w:rsid w:val="780E1C86"/>
    <w:rsid w:val="784D0939"/>
    <w:rsid w:val="786B272C"/>
    <w:rsid w:val="78E55F51"/>
    <w:rsid w:val="797A02ED"/>
    <w:rsid w:val="79B23223"/>
    <w:rsid w:val="79DE1204"/>
    <w:rsid w:val="7A447EB1"/>
    <w:rsid w:val="7A6263B1"/>
    <w:rsid w:val="7ADF17B7"/>
    <w:rsid w:val="7AEB0EA5"/>
    <w:rsid w:val="7B386B42"/>
    <w:rsid w:val="7BBC102F"/>
    <w:rsid w:val="7BD509C2"/>
    <w:rsid w:val="7C9625E2"/>
    <w:rsid w:val="7D2A47F3"/>
    <w:rsid w:val="7D825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36</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2020-11-23T08:20:52Z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