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炼钢用增碳剂</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24</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SC202011017LGYZTJ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0</w:t>
      </w:r>
      <w:r>
        <w:rPr>
          <w:rFonts w:hint="eastAsia" w:ascii="宋体" w:hAnsi="宋体"/>
          <w:sz w:val="24"/>
          <w:szCs w:val="24"/>
          <w:u w:val="single"/>
          <w:lang w:val="en-US" w:eastAsia="zh-CN"/>
        </w:rPr>
        <w:t>1</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04</w:t>
      </w:r>
      <w:r>
        <w:rPr>
          <w:rFonts w:hint="eastAsia" w:ascii="宋体" w:hAnsi="宋体"/>
          <w:sz w:val="24"/>
          <w:szCs w:val="24"/>
          <w:u w:val="single"/>
          <w:lang w:val="en-US" w:eastAsia="zh-CN"/>
        </w:rPr>
        <w:t>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01</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1</w:t>
      </w:r>
      <w:r>
        <w:rPr>
          <w:rFonts w:hint="eastAsia" w:ascii="宋体" w:hAnsi="宋体"/>
          <w:b/>
          <w:color w:val="FF0000"/>
          <w:sz w:val="28"/>
          <w:szCs w:val="28"/>
          <w:highlight w:val="none"/>
        </w:rPr>
        <w:t>、满足</w:t>
      </w:r>
      <w:r>
        <w:rPr>
          <w:rFonts w:hint="eastAsia" w:ascii="宋体" w:hAnsi="宋体"/>
          <w:b/>
          <w:color w:val="FF0000"/>
          <w:sz w:val="28"/>
          <w:szCs w:val="28"/>
          <w:highlight w:val="none"/>
          <w:lang w:eastAsia="zh-CN"/>
        </w:rPr>
        <w:t>附件</w:t>
      </w:r>
      <w:r>
        <w:rPr>
          <w:rFonts w:hint="eastAsia" w:ascii="宋体" w:hAnsi="宋体"/>
          <w:b/>
          <w:color w:val="FF0000"/>
          <w:sz w:val="28"/>
          <w:szCs w:val="28"/>
          <w:highlight w:val="none"/>
        </w:rPr>
        <w:t>技术要求及业主单位生产使用要求。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2</w:t>
      </w:r>
      <w:r>
        <w:rPr>
          <w:rFonts w:hint="eastAsia" w:ascii="宋体" w:hAnsi="宋体"/>
          <w:b/>
          <w:color w:val="FF0000"/>
          <w:sz w:val="28"/>
          <w:szCs w:val="28"/>
        </w:rPr>
        <w:t>、本次招标招</w:t>
      </w:r>
      <w:r>
        <w:rPr>
          <w:rFonts w:hint="eastAsia" w:ascii="宋体" w:hAnsi="宋体"/>
          <w:b/>
          <w:color w:val="FF0000"/>
          <w:sz w:val="28"/>
          <w:szCs w:val="28"/>
          <w:lang w:eastAsia="zh-CN"/>
        </w:rPr>
        <w:t>三</w:t>
      </w:r>
      <w:r>
        <w:rPr>
          <w:rFonts w:hint="eastAsia" w:ascii="宋体" w:hAnsi="宋体"/>
          <w:b/>
          <w:color w:val="FF0000"/>
          <w:sz w:val="28"/>
          <w:szCs w:val="28"/>
        </w:rPr>
        <w:t>个月的供货量</w:t>
      </w:r>
      <w:r>
        <w:rPr>
          <w:rFonts w:hint="eastAsia" w:ascii="宋体" w:hAnsi="宋体"/>
          <w:b/>
          <w:color w:val="FF0000"/>
          <w:sz w:val="28"/>
          <w:szCs w:val="28"/>
          <w:lang w:eastAsia="zh-CN"/>
        </w:rPr>
        <w:t>为</w:t>
      </w:r>
      <w:r>
        <w:rPr>
          <w:rFonts w:hint="eastAsia" w:ascii="宋体" w:hAnsi="宋体"/>
          <w:b/>
          <w:color w:val="FF0000"/>
          <w:sz w:val="28"/>
          <w:szCs w:val="28"/>
        </w:rPr>
        <w:t>：</w:t>
      </w:r>
      <w:r>
        <w:rPr>
          <w:rFonts w:hint="eastAsia" w:ascii="宋体" w:hAnsi="宋体"/>
          <w:b/>
          <w:color w:val="FF0000"/>
          <w:sz w:val="28"/>
          <w:szCs w:val="28"/>
          <w:lang w:val="en-US" w:eastAsia="zh-CN"/>
        </w:rPr>
        <w:t>炼钢用增碳剂</w:t>
      </w:r>
      <w:r>
        <w:rPr>
          <w:rFonts w:hint="eastAsia" w:ascii="宋体" w:hAnsi="宋体"/>
          <w:b/>
          <w:color w:val="FF0000"/>
          <w:sz w:val="28"/>
          <w:szCs w:val="28"/>
        </w:rPr>
        <w:t>用量约</w:t>
      </w:r>
      <w:r>
        <w:rPr>
          <w:rFonts w:hint="eastAsia" w:ascii="宋体" w:hAnsi="宋体"/>
          <w:b/>
          <w:color w:val="FF0000"/>
          <w:sz w:val="28"/>
          <w:szCs w:val="28"/>
          <w:lang w:val="en-US" w:eastAsia="zh-CN"/>
        </w:rPr>
        <w:t>1400</w:t>
      </w:r>
      <w:r>
        <w:rPr>
          <w:rFonts w:hint="eastAsia" w:ascii="宋体" w:hAnsi="宋体"/>
          <w:b/>
          <w:color w:val="FF0000"/>
          <w:sz w:val="28"/>
          <w:szCs w:val="28"/>
        </w:rPr>
        <w:t>吨（该数量为</w:t>
      </w:r>
      <w:r>
        <w:rPr>
          <w:rFonts w:hint="eastAsia" w:ascii="宋体" w:hAnsi="宋体"/>
          <w:b/>
          <w:color w:val="FF0000"/>
          <w:sz w:val="28"/>
          <w:szCs w:val="28"/>
          <w:lang w:eastAsia="zh-CN"/>
        </w:rPr>
        <w:t>三</w:t>
      </w:r>
      <w:r>
        <w:rPr>
          <w:rFonts w:hint="eastAsia" w:ascii="宋体" w:hAnsi="宋体"/>
          <w:b/>
          <w:color w:val="FF0000"/>
          <w:sz w:val="28"/>
          <w:szCs w:val="28"/>
        </w:rPr>
        <w:t>个月的理论需求数量，具体供货数量以生产单位实际用量为准，具体供货时间以商务部门通知为准）。</w:t>
      </w:r>
    </w:p>
    <w:p>
      <w:pPr>
        <w:numPr>
          <w:ilvl w:val="0"/>
          <w:numId w:val="0"/>
        </w:numPr>
        <w:ind w:left="360" w:leftChars="0"/>
        <w:jc w:val="left"/>
        <w:rPr>
          <w:rFonts w:hint="eastAsia" w:ascii="宋体" w:hAnsi="宋体"/>
          <w:b/>
          <w:color w:val="FF0000"/>
          <w:sz w:val="28"/>
          <w:szCs w:val="28"/>
        </w:rPr>
      </w:pPr>
      <w:r>
        <w:rPr>
          <w:rFonts w:hint="eastAsia" w:ascii="宋体" w:hAnsi="宋体"/>
          <w:b/>
          <w:color w:val="FF0000"/>
          <w:sz w:val="28"/>
          <w:szCs w:val="28"/>
          <w:lang w:val="en-US" w:eastAsia="zh-CN"/>
        </w:rPr>
        <w:t>3、本次</w:t>
      </w:r>
      <w:r>
        <w:rPr>
          <w:rFonts w:hint="eastAsia" w:ascii="宋体" w:hAnsi="宋体"/>
          <w:b/>
          <w:color w:val="FF0000"/>
          <w:sz w:val="28"/>
          <w:szCs w:val="28"/>
        </w:rPr>
        <w:t>招标项目</w:t>
      </w:r>
      <w:r>
        <w:rPr>
          <w:rFonts w:hint="eastAsia" w:ascii="宋体" w:hAnsi="宋体"/>
          <w:b/>
          <w:color w:val="FF0000"/>
          <w:sz w:val="28"/>
          <w:szCs w:val="28"/>
          <w:lang w:eastAsia="zh-CN"/>
        </w:rPr>
        <w:t>（</w:t>
      </w:r>
      <w:r>
        <w:rPr>
          <w:rFonts w:hint="eastAsia" w:ascii="宋体" w:hAnsi="宋体"/>
          <w:b/>
          <w:color w:val="FF0000"/>
          <w:sz w:val="28"/>
          <w:szCs w:val="28"/>
          <w:lang w:val="en-US" w:eastAsia="zh-CN"/>
        </w:rPr>
        <w:t>炼钢用增碳剂</w:t>
      </w:r>
      <w:r>
        <w:rPr>
          <w:rFonts w:hint="eastAsia"/>
          <w:b w:val="0"/>
          <w:bCs/>
          <w:color w:val="auto"/>
          <w:sz w:val="28"/>
          <w:szCs w:val="28"/>
          <w:lang w:val="en-US" w:eastAsia="zh-CN"/>
        </w:rPr>
        <w:t>）</w:t>
      </w:r>
      <w:r>
        <w:rPr>
          <w:rFonts w:hint="eastAsia"/>
          <w:b/>
          <w:bCs w:val="0"/>
          <w:color w:val="FF0000"/>
          <w:sz w:val="28"/>
          <w:szCs w:val="28"/>
          <w:lang w:val="en-US" w:eastAsia="zh-CN"/>
        </w:rPr>
        <w:t>最高投标限价为：2300元/吨（大写：贰仟叁佰元每吨），报价高于此最高投标限价的作废标处理。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jc w:val="both"/>
        <w:rPr>
          <w:rFonts w:hint="default" w:ascii="宋体" w:hAnsi="宋体" w:eastAsia="宋体"/>
          <w:sz w:val="24"/>
          <w:szCs w:val="24"/>
          <w:lang w:val="en-US" w:eastAsia="zh-CN"/>
        </w:rPr>
      </w:pPr>
    </w:p>
    <w:p>
      <w:pPr>
        <w:jc w:val="center"/>
        <w:rPr>
          <w:rFonts w:hint="eastAsia"/>
          <w:b/>
          <w:color w:val="auto"/>
          <w:sz w:val="36"/>
          <w:szCs w:val="36"/>
          <w:u w:val="none" w:color="auto"/>
          <w:lang w:eastAsia="zh-CN"/>
        </w:rPr>
      </w:pPr>
      <w:r>
        <w:rPr>
          <w:rFonts w:hint="eastAsia"/>
          <w:b/>
          <w:color w:val="auto"/>
          <w:sz w:val="36"/>
          <w:szCs w:val="36"/>
          <w:u w:val="none" w:color="auto"/>
        </w:rPr>
        <w:t>增碳剂</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本标准规定了炼钢增碳剂的采购标准、让步接受条件、不合格处理及送货要求。</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FC%；St.d%；H2O%；粒度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FC≥90%；St.d≤0.5%；水份≤0.5%；粒度:0.5～7mm；小于0.5mm的比例≤10%；大于7mm的比例≤5%</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1、FC：89%≤C＜90%每下降0.1%，合同价格降0.5%;88%≤C＜89%间，每下降0.1%，合同价格降1%；超出让步范围原则上退货或在原处罚基础上双倍扣罚。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2、St.d超出标准在让步接收范围内，每上升0.01%,合同价格降0.05%；超出让步范围原则上退货或在原处罚基础上双倍扣罚。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3、0.5%＜H2O≤0.7%，每增加0.1%，合同价格降2%，H2O＞0.7%，作退货处理；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4、粒度超出标准在让步接收范围内，超出部分扣吨位结算；超出让步范围原则上退货或在原处罚基础上双倍扣罚。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3.其他要求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3.1</w:t>
      </w:r>
      <w:r>
        <w:rPr>
          <w:rFonts w:hint="default"/>
          <w:b w:val="0"/>
          <w:bCs/>
          <w:color w:val="auto"/>
          <w:sz w:val="24"/>
          <w:szCs w:val="24"/>
          <w:u w:val="none" w:color="auto"/>
          <w:lang w:val="en-US" w:eastAsia="zh-CN"/>
        </w:rPr>
        <w:t>包装要求</w:t>
      </w:r>
      <w:r>
        <w:rPr>
          <w:rFonts w:hint="eastAsia"/>
          <w:b w:val="0"/>
          <w:bCs/>
          <w:color w:val="auto"/>
          <w:sz w:val="24"/>
          <w:szCs w:val="24"/>
          <w:u w:val="none" w:color="auto"/>
          <w:lang w:val="en-US" w:eastAsia="zh-CN"/>
        </w:rPr>
        <w:t>分两种</w:t>
      </w:r>
      <w:r>
        <w:rPr>
          <w:rFonts w:hint="default"/>
          <w:b w:val="0"/>
          <w:bCs/>
          <w:color w:val="auto"/>
          <w:sz w:val="24"/>
          <w:szCs w:val="24"/>
          <w:u w:val="none" w:color="auto"/>
          <w:lang w:val="en-US" w:eastAsia="zh-CN"/>
        </w:rPr>
        <w:t>：</w:t>
      </w:r>
      <w:r>
        <w:rPr>
          <w:rFonts w:hint="default"/>
          <w:b w:val="0"/>
          <w:bCs/>
          <w:color w:val="auto"/>
          <w:sz w:val="24"/>
          <w:szCs w:val="24"/>
          <w:u w:val="none" w:color="auto"/>
          <w:lang w:val="en-US" w:eastAsia="zh-CN"/>
        </w:rPr>
        <w:sym w:font="Wingdings" w:char="F081"/>
      </w:r>
      <w:r>
        <w:rPr>
          <w:rFonts w:hint="eastAsia"/>
          <w:b w:val="0"/>
          <w:bCs/>
          <w:color w:val="auto"/>
          <w:sz w:val="24"/>
          <w:szCs w:val="24"/>
          <w:u w:val="none" w:color="auto"/>
          <w:lang w:val="en-US" w:eastAsia="zh-CN"/>
        </w:rPr>
        <w:t>内小袋重量</w:t>
      </w:r>
      <w:r>
        <w:rPr>
          <w:rFonts w:hint="default"/>
          <w:b w:val="0"/>
          <w:bCs/>
          <w:color w:val="auto"/>
          <w:sz w:val="24"/>
          <w:szCs w:val="24"/>
          <w:u w:val="none" w:color="auto"/>
          <w:lang w:val="en-US" w:eastAsia="zh-CN"/>
        </w:rPr>
        <w:t>15±0.2KG。四层包装，</w:t>
      </w:r>
      <w:r>
        <w:rPr>
          <w:rFonts w:hint="eastAsia"/>
          <w:b w:val="0"/>
          <w:bCs/>
          <w:color w:val="auto"/>
          <w:sz w:val="24"/>
          <w:szCs w:val="24"/>
          <w:u w:val="none" w:color="auto"/>
          <w:lang w:val="en-US" w:eastAsia="zh-CN"/>
        </w:rPr>
        <w:t>做好防潮措施，吨袋包装外层和小袋包装外层为编织袋，吨袋包装内层和小袋包装内层为厚塑料袋。塑料袋具有一定强度，保证质量，不易刺破，起到防潮效果，吨袋内膜必须扎口。吨袋</w:t>
      </w:r>
      <w:r>
        <w:rPr>
          <w:rFonts w:hint="default"/>
          <w:b w:val="0"/>
          <w:bCs/>
          <w:color w:val="auto"/>
          <w:sz w:val="24"/>
          <w:szCs w:val="24"/>
          <w:u w:val="none" w:color="auto"/>
          <w:lang w:val="en-US" w:eastAsia="zh-CN"/>
        </w:rPr>
        <w:t>包装袋上必须注明物资名称、生产厂家、包装重量</w:t>
      </w:r>
      <w:r>
        <w:rPr>
          <w:rFonts w:hint="eastAsia"/>
          <w:b w:val="0"/>
          <w:bCs/>
          <w:color w:val="auto"/>
          <w:sz w:val="24"/>
          <w:szCs w:val="24"/>
          <w:u w:val="none" w:color="auto"/>
          <w:lang w:val="en-US" w:eastAsia="zh-CN"/>
        </w:rPr>
        <w:t>、生产日期</w:t>
      </w:r>
      <w:r>
        <w:rPr>
          <w:rFonts w:hint="default"/>
          <w:b w:val="0"/>
          <w:bCs/>
          <w:color w:val="auto"/>
          <w:sz w:val="24"/>
          <w:szCs w:val="24"/>
          <w:u w:val="none" w:color="auto"/>
          <w:lang w:val="en-US" w:eastAsia="zh-CN"/>
        </w:rPr>
        <w:t>等信息</w:t>
      </w:r>
      <w:r>
        <w:rPr>
          <w:rFonts w:hint="eastAsia"/>
          <w:b w:val="0"/>
          <w:bCs/>
          <w:color w:val="auto"/>
          <w:sz w:val="24"/>
          <w:szCs w:val="24"/>
          <w:u w:val="none" w:color="auto"/>
          <w:lang w:val="en-US" w:eastAsia="zh-CN"/>
        </w:rPr>
        <w:t>，小包装袋上必须注明物资名称、重量等信息。</w:t>
      </w:r>
      <w:r>
        <w:rPr>
          <w:rFonts w:hint="eastAsia"/>
          <w:b w:val="0"/>
          <w:bCs/>
          <w:color w:val="auto"/>
          <w:sz w:val="24"/>
          <w:szCs w:val="24"/>
          <w:u w:val="none" w:color="auto"/>
          <w:lang w:val="en-US" w:eastAsia="zh-CN"/>
        </w:rPr>
        <w:sym w:font="Wingdings" w:char="F082"/>
      </w:r>
      <w:r>
        <w:rPr>
          <w:rFonts w:hint="eastAsia"/>
          <w:b w:val="0"/>
          <w:bCs/>
          <w:color w:val="auto"/>
          <w:sz w:val="24"/>
          <w:szCs w:val="24"/>
          <w:u w:val="none" w:color="auto"/>
          <w:lang w:val="en-US" w:eastAsia="zh-CN"/>
        </w:rPr>
        <w:t>内不含小袋，</w:t>
      </w:r>
      <w:r>
        <w:rPr>
          <w:rFonts w:hint="eastAsia" w:ascii="新宋体" w:hAnsi="新宋体" w:eastAsia="新宋体" w:cs="新宋体"/>
          <w:sz w:val="24"/>
          <w:szCs w:val="24"/>
          <w:lang w:val="en-US" w:eastAsia="zh-CN"/>
        </w:rPr>
        <w:t>包装采用2层，外层为编织袋，内为塑料膜，塑料膜强度不易刺破，起到防潮作用；或可采用编制袋覆膜。要求内膜口和编织袋口缝在一起或粘在一起，保证底部破袋时内膜不随增碳剂掉落。包装标识必须包含</w:t>
      </w:r>
      <w:r>
        <w:rPr>
          <w:rFonts w:hint="default"/>
          <w:b w:val="0"/>
          <w:bCs/>
          <w:color w:val="auto"/>
          <w:sz w:val="24"/>
          <w:szCs w:val="24"/>
          <w:u w:val="none" w:color="auto"/>
          <w:lang w:val="en-US" w:eastAsia="zh-CN"/>
        </w:rPr>
        <w:t>物资名称、生产厂家、包装重量</w:t>
      </w:r>
      <w:r>
        <w:rPr>
          <w:rFonts w:hint="eastAsia"/>
          <w:b w:val="0"/>
          <w:bCs/>
          <w:color w:val="auto"/>
          <w:sz w:val="24"/>
          <w:szCs w:val="24"/>
          <w:u w:val="none" w:color="auto"/>
          <w:lang w:val="en-US" w:eastAsia="zh-CN"/>
        </w:rPr>
        <w:t>、生产日期</w:t>
      </w:r>
      <w:r>
        <w:rPr>
          <w:rFonts w:hint="default"/>
          <w:b w:val="0"/>
          <w:bCs/>
          <w:color w:val="auto"/>
          <w:sz w:val="24"/>
          <w:szCs w:val="24"/>
          <w:u w:val="none" w:color="auto"/>
          <w:lang w:val="en-US" w:eastAsia="zh-CN"/>
        </w:rPr>
        <w:t>等信息</w:t>
      </w:r>
      <w:r>
        <w:rPr>
          <w:rFonts w:hint="eastAsia"/>
          <w:b w:val="0"/>
          <w:bCs/>
          <w:color w:val="auto"/>
          <w:sz w:val="24"/>
          <w:szCs w:val="24"/>
          <w:u w:val="none" w:color="auto"/>
          <w:lang w:val="en-US" w:eastAsia="zh-CN"/>
        </w:rPr>
        <w:t>。不符合要求的按200元/袋落实考核。</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3.2</w:t>
      </w:r>
      <w:r>
        <w:rPr>
          <w:rFonts w:hint="default"/>
          <w:b w:val="0"/>
          <w:bCs/>
          <w:color w:val="auto"/>
          <w:sz w:val="24"/>
          <w:szCs w:val="24"/>
          <w:u w:val="none" w:color="auto"/>
          <w:lang w:val="en-US" w:eastAsia="zh-CN"/>
        </w:rPr>
        <w:t>如包装重量发生变化，提前通知供货厂家并进行调整。大袋包装重量为</w:t>
      </w:r>
      <w:r>
        <w:rPr>
          <w:rFonts w:hint="eastAsia"/>
          <w:b w:val="0"/>
          <w:bCs/>
          <w:color w:val="auto"/>
          <w:sz w:val="24"/>
          <w:szCs w:val="24"/>
          <w:u w:val="none" w:color="auto"/>
          <w:lang w:val="en-US" w:eastAsia="zh-CN"/>
        </w:rPr>
        <w:t>100</w:t>
      </w:r>
      <w:r>
        <w:rPr>
          <w:rFonts w:hint="default"/>
          <w:b w:val="0"/>
          <w:bCs/>
          <w:color w:val="auto"/>
          <w:sz w:val="24"/>
          <w:szCs w:val="24"/>
          <w:u w:val="none" w:color="auto"/>
          <w:lang w:val="en-US" w:eastAsia="zh-CN"/>
        </w:rPr>
        <w:t>0公斤包装。</w:t>
      </w:r>
      <w:r>
        <w:rPr>
          <w:rFonts w:hint="eastAsia"/>
          <w:b w:val="0"/>
          <w:bCs/>
          <w:color w:val="auto"/>
          <w:sz w:val="24"/>
          <w:szCs w:val="24"/>
          <w:u w:val="none" w:color="auto"/>
          <w:lang w:val="en-US" w:eastAsia="zh-CN"/>
        </w:rPr>
        <w:t>包装袋供方不回收。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ascii="Times New Roman" w:hAnsi="Times New Roman" w:cs="Times New Roman"/>
          <w:b w:val="0"/>
          <w:bCs/>
          <w:color w:val="auto"/>
          <w:sz w:val="24"/>
          <w:szCs w:val="24"/>
          <w:u w:val="none" w:color="auto"/>
        </w:rPr>
      </w:pPr>
      <w:r>
        <w:rPr>
          <w:rFonts w:hint="eastAsia"/>
          <w:b w:val="0"/>
          <w:bCs/>
          <w:color w:val="auto"/>
          <w:sz w:val="24"/>
          <w:szCs w:val="24"/>
          <w:u w:val="none" w:color="auto"/>
          <w:lang w:val="en-US" w:eastAsia="zh-CN"/>
        </w:rPr>
        <w:t>3.3</w:t>
      </w:r>
      <w:r>
        <w:rPr>
          <w:rFonts w:hint="default" w:ascii="Times New Roman" w:hAnsi="Times New Roman" w:cs="Times New Roman"/>
          <w:b w:val="0"/>
          <w:bCs/>
          <w:color w:val="auto"/>
          <w:sz w:val="24"/>
          <w:szCs w:val="24"/>
          <w:u w:val="none" w:color="auto"/>
        </w:rPr>
        <w:t>包装吨袋质量必须保证，如果因为吨袋质量问题导致在卸货过程中出现漏料、撒料的情况，全部责任由供方承担。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cs="Times New Roman"/>
          <w:b w:val="0"/>
          <w:bCs/>
          <w:color w:val="auto"/>
          <w:sz w:val="24"/>
          <w:szCs w:val="24"/>
          <w:u w:val="none" w:color="auto"/>
          <w:lang w:val="en-US" w:eastAsia="zh-CN"/>
        </w:rPr>
        <w:t>3.4、按我方</w:t>
      </w:r>
      <w:r>
        <w:rPr>
          <w:rFonts w:hint="eastAsia"/>
          <w:b w:val="0"/>
          <w:bCs/>
          <w:color w:val="auto"/>
          <w:sz w:val="24"/>
          <w:szCs w:val="24"/>
          <w:u w:val="none" w:color="auto"/>
          <w:lang w:val="en-US" w:eastAsia="zh-CN"/>
        </w:rPr>
        <w:t>包装要求发货。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4.送货要求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5.卸货地点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增碳剂卸至公司合金库房。</w:t>
      </w:r>
    </w:p>
    <w:p>
      <w:pPr>
        <w:pStyle w:val="21"/>
        <w:snapToGrid w:val="0"/>
        <w:spacing w:line="480" w:lineRule="auto"/>
        <w:rPr>
          <w:rFonts w:hint="eastAsia" w:ascii="宋体" w:hAnsi="宋体" w:cs="宋体"/>
          <w:szCs w:val="22"/>
        </w:rPr>
      </w:pPr>
      <w:r>
        <w:rPr>
          <w:rFonts w:hint="eastAsia"/>
          <w:b/>
          <w:color w:val="auto"/>
          <w:sz w:val="24"/>
          <w:szCs w:val="24"/>
          <w:u w:val="none" w:color="auto"/>
          <w:lang w:val="en-US" w:eastAsia="zh-CN"/>
        </w:rPr>
        <w:br w:type="page"/>
      </w: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bookmarkStart w:id="0" w:name="_GoBack"/>
      <w:bookmarkEnd w:id="0"/>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231"/>
        <w:gridCol w:w="1212"/>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337" w:type="pct"/>
            <w:noWrap w:val="0"/>
            <w:vAlign w:val="center"/>
          </w:tcPr>
          <w:p>
            <w:pPr>
              <w:jc w:val="center"/>
              <w:rPr>
                <w:rFonts w:hint="eastAsia"/>
                <w:sz w:val="18"/>
                <w:szCs w:val="18"/>
              </w:rPr>
            </w:pPr>
            <w:r>
              <w:rPr>
                <w:rFonts w:hint="eastAsia"/>
                <w:sz w:val="18"/>
                <w:szCs w:val="18"/>
              </w:rPr>
              <w:t>序号</w:t>
            </w:r>
          </w:p>
        </w:tc>
        <w:tc>
          <w:tcPr>
            <w:tcW w:w="1230" w:type="dxa"/>
            <w:noWrap w:val="0"/>
            <w:vAlign w:val="center"/>
          </w:tcPr>
          <w:p>
            <w:pPr>
              <w:jc w:val="center"/>
              <w:rPr>
                <w:rFonts w:hint="eastAsia"/>
                <w:sz w:val="18"/>
                <w:szCs w:val="18"/>
              </w:rPr>
            </w:pPr>
            <w:r>
              <w:rPr>
                <w:rFonts w:hint="eastAsia"/>
                <w:sz w:val="18"/>
                <w:szCs w:val="18"/>
              </w:rPr>
              <w:t>物资名称</w:t>
            </w:r>
          </w:p>
        </w:tc>
        <w:tc>
          <w:tcPr>
            <w:tcW w:w="1210" w:type="dxa"/>
            <w:noWrap w:val="0"/>
            <w:vAlign w:val="center"/>
          </w:tcPr>
          <w:p>
            <w:pPr>
              <w:jc w:val="center"/>
              <w:rPr>
                <w:rFonts w:hint="eastAsia"/>
                <w:sz w:val="18"/>
                <w:szCs w:val="18"/>
              </w:rPr>
            </w:pPr>
            <w:r>
              <w:rPr>
                <w:rFonts w:hint="eastAsia"/>
                <w:sz w:val="18"/>
                <w:szCs w:val="18"/>
                <w:lang w:eastAsia="zh-CN"/>
              </w:rPr>
              <w:t>三</w:t>
            </w:r>
            <w:r>
              <w:rPr>
                <w:rFonts w:hint="eastAsia"/>
                <w:sz w:val="18"/>
                <w:szCs w:val="18"/>
              </w:rPr>
              <w:t>个月理论要求数量</w:t>
            </w:r>
          </w:p>
        </w:tc>
        <w:tc>
          <w:tcPr>
            <w:tcW w:w="2312" w:type="pct"/>
            <w:noWrap w:val="0"/>
            <w:vAlign w:val="center"/>
          </w:tcPr>
          <w:p>
            <w:pPr>
              <w:jc w:val="center"/>
              <w:rPr>
                <w:rFonts w:hint="eastAsia"/>
                <w:sz w:val="18"/>
                <w:szCs w:val="18"/>
              </w:rPr>
            </w:pPr>
            <w:r>
              <w:rPr>
                <w:rFonts w:hint="eastAsia"/>
                <w:sz w:val="18"/>
                <w:szCs w:val="18"/>
              </w:rPr>
              <w:t>含税、含运费报价（元/吨）</w:t>
            </w:r>
          </w:p>
        </w:tc>
        <w:tc>
          <w:tcPr>
            <w:tcW w:w="978" w:type="pct"/>
            <w:noWrap w:val="0"/>
            <w:vAlign w:val="center"/>
          </w:tcPr>
          <w:p>
            <w:pPr>
              <w:jc w:val="center"/>
              <w:rPr>
                <w:rFonts w:hint="eastAsia"/>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7" w:type="pct"/>
            <w:vMerge w:val="restart"/>
            <w:noWrap w:val="0"/>
            <w:vAlign w:val="center"/>
          </w:tcPr>
          <w:p>
            <w:pPr>
              <w:jc w:val="center"/>
              <w:rPr>
                <w:sz w:val="24"/>
                <w:szCs w:val="24"/>
              </w:rPr>
            </w:pPr>
            <w:r>
              <w:rPr>
                <w:rFonts w:hint="eastAsia"/>
                <w:sz w:val="24"/>
                <w:szCs w:val="24"/>
              </w:rPr>
              <w:t>1</w:t>
            </w:r>
          </w:p>
        </w:tc>
        <w:tc>
          <w:tcPr>
            <w:tcW w:w="1230" w:type="dxa"/>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b/>
                <w:color w:val="FF0000"/>
                <w:sz w:val="28"/>
                <w:szCs w:val="28"/>
                <w:lang w:val="en-US" w:eastAsia="zh-CN"/>
              </w:rPr>
              <w:t>炼钢用增碳剂</w:t>
            </w:r>
          </w:p>
        </w:tc>
        <w:tc>
          <w:tcPr>
            <w:tcW w:w="1210" w:type="dxa"/>
            <w:vMerge w:val="restart"/>
            <w:noWrap w:val="0"/>
            <w:vAlign w:val="center"/>
          </w:tcPr>
          <w:p>
            <w:pPr>
              <w:jc w:val="center"/>
              <w:rPr>
                <w:rFonts w:hint="eastAsia"/>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1400</w:t>
            </w:r>
            <w:r>
              <w:rPr>
                <w:rFonts w:hint="eastAsia" w:ascii="宋体" w:hAnsi="宋体"/>
                <w:b/>
                <w:color w:val="FF0000"/>
                <w:sz w:val="24"/>
                <w:szCs w:val="24"/>
              </w:rPr>
              <w:t>吨</w:t>
            </w:r>
          </w:p>
        </w:tc>
        <w:tc>
          <w:tcPr>
            <w:tcW w:w="2312"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w:t>
            </w:r>
          </w:p>
        </w:tc>
        <w:tc>
          <w:tcPr>
            <w:tcW w:w="97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7"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312"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大写：</w:t>
            </w:r>
            <w:r>
              <w:rPr>
                <w:rFonts w:hint="eastAsia"/>
                <w:sz w:val="24"/>
                <w:szCs w:val="24"/>
                <w:lang w:val="en-US" w:eastAsia="zh-CN"/>
              </w:rPr>
              <w:t xml:space="preserve">                      </w:t>
            </w:r>
            <w:r>
              <w:rPr>
                <w:rFonts w:hint="eastAsia"/>
                <w:sz w:val="18"/>
                <w:szCs w:val="18"/>
              </w:rPr>
              <w:t>元/吨</w:t>
            </w:r>
          </w:p>
        </w:tc>
        <w:tc>
          <w:tcPr>
            <w:tcW w:w="97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noWrap w:val="0"/>
            <w:vAlign w:val="top"/>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572CF1"/>
    <w:rsid w:val="1CCB1E53"/>
    <w:rsid w:val="1D2E11E1"/>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96C172C"/>
    <w:rsid w:val="2A60183A"/>
    <w:rsid w:val="2BBB5AD5"/>
    <w:rsid w:val="2BF10F3E"/>
    <w:rsid w:val="2BF40243"/>
    <w:rsid w:val="2C204052"/>
    <w:rsid w:val="2C480786"/>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D5A40AB"/>
    <w:rsid w:val="3DB441B2"/>
    <w:rsid w:val="3DD2066D"/>
    <w:rsid w:val="3E371640"/>
    <w:rsid w:val="3EB93F1F"/>
    <w:rsid w:val="3EF869AA"/>
    <w:rsid w:val="3F0B65A3"/>
    <w:rsid w:val="3FC82DB5"/>
    <w:rsid w:val="403E589B"/>
    <w:rsid w:val="404A6AC9"/>
    <w:rsid w:val="41394D83"/>
    <w:rsid w:val="41A706B0"/>
    <w:rsid w:val="41BF02F4"/>
    <w:rsid w:val="422E1FDF"/>
    <w:rsid w:val="423C71D1"/>
    <w:rsid w:val="426213B7"/>
    <w:rsid w:val="42CE1EFE"/>
    <w:rsid w:val="43944C62"/>
    <w:rsid w:val="4500284B"/>
    <w:rsid w:val="45407B03"/>
    <w:rsid w:val="45C004AA"/>
    <w:rsid w:val="47847BD9"/>
    <w:rsid w:val="47AD4330"/>
    <w:rsid w:val="48E1049E"/>
    <w:rsid w:val="49280B38"/>
    <w:rsid w:val="492C5B3D"/>
    <w:rsid w:val="4B600992"/>
    <w:rsid w:val="4B635392"/>
    <w:rsid w:val="4BA21255"/>
    <w:rsid w:val="4D3C2DFC"/>
    <w:rsid w:val="4DC66F68"/>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D173705"/>
    <w:rsid w:val="5D1B4B8A"/>
    <w:rsid w:val="5D915ACD"/>
    <w:rsid w:val="5D9D5007"/>
    <w:rsid w:val="5E611270"/>
    <w:rsid w:val="5EB2026E"/>
    <w:rsid w:val="61033D16"/>
    <w:rsid w:val="625B24D7"/>
    <w:rsid w:val="62CD795C"/>
    <w:rsid w:val="63E65DE6"/>
    <w:rsid w:val="646C4593"/>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29</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2020-11-24T06:25:16Z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