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焦化烟囱升降梯</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highlight w:val="none"/>
          <w:u w:val="single"/>
          <w:lang w:val="en-US" w:eastAsia="zh-CN"/>
        </w:rPr>
        <w:t>24</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JHB</w:t>
      </w:r>
      <w:r>
        <w:rPr>
          <w:rFonts w:hint="eastAsia" w:ascii="宋体" w:hAnsi="宋体"/>
          <w:color w:val="000000"/>
        </w:rPr>
        <w:t>2020</w:t>
      </w:r>
      <w:r>
        <w:rPr>
          <w:rFonts w:hint="eastAsia" w:ascii="宋体" w:hAnsi="宋体"/>
          <w:color w:val="000000"/>
          <w:lang w:val="en-US" w:eastAsia="zh-CN"/>
        </w:rPr>
        <w:t>11</w:t>
      </w:r>
      <w:r>
        <w:rPr>
          <w:rFonts w:hint="eastAsia" w:ascii="宋体" w:hAnsi="宋体"/>
          <w:color w:val="000000"/>
        </w:rPr>
        <w:t>00</w:t>
      </w:r>
      <w:r>
        <w:rPr>
          <w:rFonts w:hint="eastAsia" w:ascii="宋体" w:hAnsi="宋体"/>
          <w:color w:val="000000"/>
          <w:lang w:val="en-US" w:eastAsia="zh-CN"/>
        </w:rPr>
        <w:t>4JHYCSJT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焦化烟囱升降梯</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eastAsia"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邱序东</w:t>
      </w:r>
      <w:r>
        <w:rPr>
          <w:rFonts w:hint="eastAsia" w:ascii="宋体" w:hAnsi="宋体"/>
          <w:sz w:val="24"/>
          <w:szCs w:val="24"/>
          <w:lang w:val="en-US" w:eastAsia="zh-CN"/>
        </w:rPr>
        <w:t xml:space="preserve">   19942463507</w:t>
      </w:r>
    </w:p>
    <w:p>
      <w:pPr>
        <w:rPr>
          <w:rFonts w:hint="default" w:ascii="宋体" w:hAnsi="宋体"/>
          <w:sz w:val="24"/>
          <w:szCs w:val="24"/>
          <w:lang w:val="en-US" w:eastAsia="zh-CN"/>
        </w:rPr>
      </w:pPr>
      <w:r>
        <w:rPr>
          <w:rFonts w:hint="eastAsia" w:ascii="宋体" w:hAnsi="宋体"/>
          <w:sz w:val="24"/>
          <w:szCs w:val="24"/>
          <w:lang w:val="en-US" w:eastAsia="zh-CN"/>
        </w:rPr>
        <w:t>工程管理部：王鹏     18955329095</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highlight w:val="none"/>
          <w:lang w:val="en-US" w:eastAsia="zh-CN"/>
        </w:rPr>
        <w:t>30</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highlight w:val="none"/>
          <w:lang w:val="en-US" w:eastAsia="zh-CN"/>
        </w:rPr>
        <w:t>12</w:t>
      </w:r>
      <w:r>
        <w:rPr>
          <w:rFonts w:ascii="宋体" w:hAnsi="宋体"/>
          <w:bCs/>
          <w:sz w:val="24"/>
          <w:szCs w:val="24"/>
          <w:highlight w:val="none"/>
        </w:rPr>
        <w:t>月</w:t>
      </w:r>
      <w:r>
        <w:rPr>
          <w:rFonts w:hint="eastAsia" w:ascii="宋体" w:hAnsi="宋体"/>
          <w:sz w:val="24"/>
          <w:szCs w:val="24"/>
          <w:highlight w:val="none"/>
          <w:lang w:val="en-US" w:eastAsia="zh-CN"/>
        </w:rPr>
        <w:t>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bCs/>
          <w:color w:val="7030A0"/>
          <w:sz w:val="24"/>
          <w:szCs w:val="24"/>
          <w:lang w:val="en-US" w:eastAsia="zh-CN"/>
        </w:rPr>
        <w:t>30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spacing w:line="360" w:lineRule="auto"/>
        <w:ind w:firstLine="1687" w:firstLineChars="800"/>
        <w:rPr>
          <w:rFonts w:hint="eastAsia" w:ascii="宋体" w:hAnsi="宋体"/>
          <w:bCs/>
          <w:sz w:val="24"/>
          <w:szCs w:val="24"/>
        </w:rPr>
      </w:pPr>
      <w:r>
        <w:rPr>
          <w:rFonts w:hint="eastAsia" w:ascii="宋体" w:hAnsi="宋体"/>
          <w:b/>
        </w:rPr>
        <w:t>此项目中标单位需缴纳60万元安全保障金。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sz w:val="24"/>
          <w:szCs w:val="24"/>
        </w:rPr>
      </w:pPr>
      <w:r>
        <w:rPr>
          <w:rFonts w:hint="eastAsia" w:ascii="宋体" w:hAnsi="宋体"/>
          <w:sz w:val="24"/>
          <w:szCs w:val="24"/>
        </w:rPr>
        <w:t>1、</w:t>
      </w:r>
      <w:r>
        <w:rPr>
          <w:rFonts w:hint="eastAsia" w:ascii="宋体" w:hAnsi="宋体"/>
          <w:sz w:val="24"/>
          <w:szCs w:val="22"/>
          <w:lang w:eastAsia="zh-CN"/>
        </w:rPr>
        <w:t>拟</w:t>
      </w:r>
      <w:r>
        <w:rPr>
          <w:rFonts w:hint="eastAsia" w:ascii="宋体" w:hAnsi="宋体"/>
          <w:sz w:val="24"/>
          <w:szCs w:val="24"/>
        </w:rPr>
        <w:t>付款方式：</w:t>
      </w:r>
    </w:p>
    <w:p>
      <w:pPr>
        <w:spacing w:line="440" w:lineRule="exact"/>
        <w:ind w:firstLine="630" w:firstLineChars="300"/>
        <w:rPr>
          <w:rFonts w:hint="eastAsia" w:ascii="宋体" w:hAnsi="宋体"/>
          <w:sz w:val="24"/>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sz w:val="24"/>
          <w:szCs w:val="22"/>
          <w:lang w:eastAsia="zh-CN"/>
        </w:rPr>
        <w:t>设备付款方式：</w:t>
      </w:r>
      <w:r>
        <w:rPr>
          <w:rFonts w:hint="eastAsia" w:ascii="宋体" w:hAnsi="宋体"/>
          <w:sz w:val="24"/>
          <w:szCs w:val="22"/>
          <w:lang w:val="en-US" w:eastAsia="zh-CN"/>
        </w:rPr>
        <w:t>0-</w:t>
      </w:r>
      <w:r>
        <w:rPr>
          <w:rFonts w:hint="eastAsia" w:ascii="宋体" w:hAnsi="宋体"/>
          <w:sz w:val="24"/>
          <w:szCs w:val="24"/>
          <w:lang w:val="en-US" w:eastAsia="zh-CN"/>
        </w:rPr>
        <w:t>6-3-1（</w:t>
      </w:r>
      <w:r>
        <w:rPr>
          <w:rFonts w:hint="eastAsia" w:ascii="宋体" w:hAnsi="宋体"/>
          <w:sz w:val="24"/>
        </w:rPr>
        <w:t>货到付款60%，正常运行三个月付款30%，留</w:t>
      </w:r>
    </w:p>
    <w:p>
      <w:pPr>
        <w:spacing w:line="440" w:lineRule="exact"/>
        <w:ind w:firstLine="720" w:firstLineChars="300"/>
        <w:rPr>
          <w:rFonts w:hint="eastAsia" w:ascii="宋体" w:hAnsi="宋体"/>
          <w:sz w:val="24"/>
          <w:lang w:eastAsia="zh-CN"/>
        </w:rPr>
      </w:pPr>
      <w:r>
        <w:rPr>
          <w:rFonts w:hint="eastAsia" w:ascii="宋体" w:hAnsi="宋体"/>
          <w:sz w:val="24"/>
        </w:rPr>
        <w:t>10%质保金一年后无质量异</w:t>
      </w:r>
      <w:bookmarkStart w:id="0" w:name="_GoBack"/>
      <w:bookmarkEnd w:id="0"/>
      <w:r>
        <w:rPr>
          <w:rFonts w:hint="eastAsia" w:ascii="宋体" w:hAnsi="宋体"/>
          <w:sz w:val="24"/>
        </w:rPr>
        <w:t>议付清</w:t>
      </w:r>
      <w:r>
        <w:rPr>
          <w:rFonts w:hint="eastAsia" w:ascii="宋体" w:hAnsi="宋体"/>
          <w:sz w:val="24"/>
          <w:lang w:eastAsia="zh-CN"/>
        </w:rPr>
        <w:t>）</w:t>
      </w:r>
      <w:r>
        <w:rPr>
          <w:rFonts w:hint="eastAsia" w:ascii="宋体" w:hAnsi="宋体" w:eastAsia="宋体" w:cs="宋体"/>
          <w:sz w:val="24"/>
          <w:szCs w:val="24"/>
          <w:lang w:val="en-US" w:eastAsia="zh-CN"/>
        </w:rPr>
        <w:t>。</w:t>
      </w:r>
    </w:p>
    <w:p>
      <w:pPr>
        <w:numPr>
          <w:numId w:val="0"/>
        </w:numPr>
        <w:spacing w:line="440" w:lineRule="exact"/>
        <w:ind w:leftChars="266"/>
        <w:rPr>
          <w:rFonts w:hint="eastAsia" w:ascii="宋体" w:hAnsi="宋体"/>
          <w:sz w:val="24"/>
          <w:szCs w:val="22"/>
        </w:rPr>
      </w:pPr>
      <w:r>
        <w:rPr>
          <w:rFonts w:hint="eastAsia"/>
          <w:sz w:val="24"/>
          <w:lang w:val="en-US" w:eastAsia="zh-CN"/>
        </w:rPr>
        <w:t>（2）施工付款方式：</w:t>
      </w:r>
      <w:r>
        <w:rPr>
          <w:rFonts w:hint="eastAsia" w:ascii="宋体" w:hAnsi="宋体"/>
          <w:sz w:val="24"/>
          <w:szCs w:val="22"/>
        </w:rPr>
        <w:t>本工程无预付款，无进度款。工程竣工验收合格、结算审</w:t>
      </w:r>
    </w:p>
    <w:p>
      <w:pPr>
        <w:numPr>
          <w:numId w:val="0"/>
        </w:numPr>
        <w:spacing w:line="440" w:lineRule="exact"/>
        <w:ind w:left="798" w:leftChars="380" w:firstLine="0" w:firstLineChars="0"/>
        <w:rPr>
          <w:rFonts w:hint="eastAsia" w:ascii="宋体" w:hAnsi="宋体"/>
          <w:sz w:val="24"/>
          <w:szCs w:val="22"/>
        </w:rPr>
      </w:pPr>
      <w:r>
        <w:rPr>
          <w:rFonts w:hint="eastAsia" w:ascii="宋体" w:hAnsi="宋体"/>
          <w:sz w:val="24"/>
          <w:szCs w:val="22"/>
        </w:rPr>
        <w:t>核后付至审核价的97%，留3%为质保金，质保金返还按保修规定。承包人应于发包人支付全部或部分工程款项前向发包人开具增值税专用发票。结算审核后承包人及时向发包人开具全额增值税专用发票。</w:t>
      </w:r>
    </w:p>
    <w:p>
      <w:pPr>
        <w:numPr>
          <w:numId w:val="0"/>
        </w:numPr>
        <w:spacing w:line="440" w:lineRule="exact"/>
        <w:ind w:left="798" w:leftChars="380" w:firstLine="0" w:firstLineChars="0"/>
        <w:rPr>
          <w:rFonts w:hint="eastAsia" w:ascii="宋体" w:hAnsi="宋体" w:eastAsia="宋体"/>
          <w:sz w:val="24"/>
          <w:szCs w:val="22"/>
          <w:lang w:val="en-US" w:eastAsia="zh-CN"/>
        </w:rPr>
      </w:pPr>
      <w:r>
        <w:rPr>
          <w:rFonts w:hint="eastAsia" w:ascii="宋体" w:hAnsi="宋体"/>
          <w:sz w:val="24"/>
          <w:szCs w:val="22"/>
          <w:lang w:eastAsia="zh-CN"/>
        </w:rPr>
        <w:t>（</w:t>
      </w:r>
      <w:r>
        <w:rPr>
          <w:rFonts w:hint="eastAsia" w:ascii="宋体" w:hAnsi="宋体"/>
          <w:sz w:val="24"/>
          <w:szCs w:val="22"/>
          <w:lang w:val="en-US" w:eastAsia="zh-CN"/>
        </w:rPr>
        <w:t>3</w:t>
      </w:r>
      <w:r>
        <w:rPr>
          <w:rFonts w:hint="eastAsia" w:ascii="宋体" w:hAnsi="宋体"/>
          <w:sz w:val="24"/>
          <w:szCs w:val="22"/>
          <w:lang w:eastAsia="zh-CN"/>
        </w:rPr>
        <w:t>）</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类物资进行评分，按分数从高到低顺序进行推荐中标候选人。价格：30分，  质量：50分，  资质、装备及工艺技术水平、业绩状况：10分，  服务、工期及资金状况：10分。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焦化烟囱升降梯</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rPr>
              <w:t>无机房升降梯</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部</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numPr>
          <w:ilvl w:val="0"/>
          <w:numId w:val="8"/>
        </w:numPr>
        <w:tabs>
          <w:tab w:val="left" w:pos="2680"/>
        </w:tabs>
        <w:ind w:left="480" w:leftChars="0" w:firstLine="0" w:firstLineChars="0"/>
        <w:jc w:val="left"/>
        <w:rPr>
          <w:rFonts w:hint="default"/>
          <w:sz w:val="24"/>
          <w:szCs w:val="24"/>
          <w:lang w:val="en-US" w:eastAsia="zh-CN"/>
        </w:rPr>
      </w:pPr>
      <w:r>
        <w:rPr>
          <w:rFonts w:hint="eastAsia"/>
          <w:sz w:val="24"/>
          <w:szCs w:val="24"/>
          <w:lang w:val="en-US" w:eastAsia="zh-CN"/>
        </w:rPr>
        <w:t>本套设备系统含安装，设备和安装分开报价，报价含税。</w:t>
      </w:r>
    </w:p>
    <w:p>
      <w:pPr>
        <w:numPr>
          <w:ilvl w:val="0"/>
          <w:numId w:val="8"/>
        </w:numPr>
        <w:tabs>
          <w:tab w:val="left" w:pos="2680"/>
        </w:tabs>
        <w:ind w:left="480" w:leftChars="0" w:firstLine="0" w:firstLineChars="0"/>
        <w:jc w:val="left"/>
        <w:rPr>
          <w:rFonts w:hint="default"/>
          <w:sz w:val="24"/>
          <w:szCs w:val="24"/>
          <w:lang w:val="en-US" w:eastAsia="zh-CN"/>
        </w:rPr>
      </w:pPr>
      <w:r>
        <w:rPr>
          <w:rFonts w:hint="eastAsia"/>
          <w:sz w:val="24"/>
          <w:szCs w:val="24"/>
          <w:lang w:val="en-US" w:eastAsia="zh-CN"/>
        </w:rPr>
        <w:t>项目概况：</w:t>
      </w:r>
      <w:r>
        <w:rPr>
          <w:rFonts w:hint="eastAsia" w:ascii="宋体" w:hAnsi="宋体" w:cs="仿宋_GB2312"/>
          <w:color w:val="000000" w:themeColor="text1"/>
          <w:sz w:val="24"/>
          <w:szCs w:val="24"/>
        </w:rPr>
        <w:t>无机房、无基坑，电梯控制方式（全电脑变频变压控制），450KG，中分门自动门，用于烟气监测设备维护，轿厢（尺寸：1200*1000*2100mm）采用发纹不锈钢。烟囱高135米，维护平台45米，两层站，防腐处理。</w:t>
      </w:r>
    </w:p>
    <w:p>
      <w:pPr>
        <w:numPr>
          <w:ilvl w:val="0"/>
          <w:numId w:val="8"/>
        </w:numPr>
        <w:tabs>
          <w:tab w:val="left" w:pos="2680"/>
        </w:tabs>
        <w:ind w:left="480" w:leftChars="0" w:firstLine="0" w:firstLineChars="0"/>
        <w:jc w:val="left"/>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投标人须具备特种设备制造</w:t>
      </w:r>
      <w:r>
        <w:rPr>
          <w:rFonts w:hint="eastAsia" w:ascii="宋体" w:hAnsi="宋体" w:cs="仿宋_GB2312"/>
          <w:color w:val="000000" w:themeColor="text1"/>
          <w:sz w:val="24"/>
          <w:szCs w:val="24"/>
          <w:highlight w:val="none"/>
          <w:lang w:eastAsia="zh-CN"/>
        </w:rPr>
        <w:t>、</w:t>
      </w:r>
      <w:r>
        <w:rPr>
          <w:rFonts w:hint="eastAsia" w:ascii="宋体" w:hAnsi="宋体" w:cs="仿宋_GB2312"/>
          <w:color w:val="000000" w:themeColor="text1"/>
          <w:sz w:val="24"/>
          <w:szCs w:val="24"/>
          <w:highlight w:val="none"/>
        </w:rPr>
        <w:t>安装改造维修许可证（升降机或电梯）C级或以上。</w:t>
      </w:r>
    </w:p>
    <w:p>
      <w:pPr>
        <w:numPr>
          <w:ilvl w:val="0"/>
          <w:numId w:val="8"/>
        </w:numPr>
        <w:tabs>
          <w:tab w:val="left" w:pos="2680"/>
        </w:tabs>
        <w:ind w:left="480" w:leftChars="0" w:firstLine="0" w:firstLineChars="0"/>
        <w:jc w:val="left"/>
        <w:rPr>
          <w:rFonts w:hint="default"/>
          <w:sz w:val="24"/>
          <w:szCs w:val="24"/>
          <w:lang w:val="en-US" w:eastAsia="zh-CN"/>
        </w:rPr>
      </w:pPr>
      <w:r>
        <w:rPr>
          <w:rFonts w:hint="eastAsia" w:ascii="宋体" w:hAnsi="宋体" w:cs="仿宋_GB2312"/>
          <w:color w:val="000000" w:themeColor="text1"/>
          <w:sz w:val="24"/>
          <w:szCs w:val="24"/>
        </w:rPr>
        <w:t>供方负责设备安装。</w:t>
      </w:r>
    </w:p>
    <w:p>
      <w:pPr>
        <w:numPr>
          <w:ilvl w:val="0"/>
          <w:numId w:val="8"/>
        </w:numPr>
        <w:tabs>
          <w:tab w:val="left" w:pos="2680"/>
        </w:tabs>
        <w:ind w:left="480" w:leftChars="0" w:firstLine="0" w:firstLineChars="0"/>
        <w:jc w:val="left"/>
        <w:rPr>
          <w:rFonts w:hint="eastAsia"/>
          <w:sz w:val="24"/>
          <w:szCs w:val="24"/>
        </w:rPr>
      </w:pPr>
      <w:r>
        <w:rPr>
          <w:rFonts w:hint="eastAsia"/>
          <w:sz w:val="24"/>
          <w:szCs w:val="24"/>
        </w:rPr>
        <w:t>施工中，主、辅材，工器具在厂区的倒运、装卸由承揽方负责，遵守发包方现场管理制度和安全规定，严格按照检维修安全措施进行施工；发包方业主单位负责监督、协助。</w:t>
      </w:r>
    </w:p>
    <w:p>
      <w:pPr>
        <w:numPr>
          <w:ilvl w:val="0"/>
          <w:numId w:val="8"/>
        </w:numPr>
        <w:tabs>
          <w:tab w:val="left" w:pos="2680"/>
        </w:tabs>
        <w:ind w:left="480" w:leftChars="0" w:firstLine="0" w:firstLineChars="0"/>
        <w:jc w:val="left"/>
        <w:rPr>
          <w:rFonts w:hint="eastAsia"/>
          <w:sz w:val="24"/>
          <w:szCs w:val="24"/>
        </w:rPr>
      </w:pPr>
      <w:r>
        <w:rPr>
          <w:rFonts w:hint="eastAsia"/>
          <w:sz w:val="24"/>
          <w:szCs w:val="24"/>
        </w:rPr>
        <w:t>中标单位签订合同时需向发包方缴纳</w:t>
      </w:r>
      <w:r>
        <w:rPr>
          <w:rFonts w:hint="eastAsia"/>
          <w:color w:val="FF0000"/>
          <w:sz w:val="24"/>
          <w:szCs w:val="24"/>
          <w:highlight w:val="none"/>
        </w:rPr>
        <w:t>60万元安全保障金</w:t>
      </w:r>
      <w:r>
        <w:rPr>
          <w:rFonts w:hint="eastAsia"/>
          <w:sz w:val="24"/>
          <w:szCs w:val="24"/>
        </w:rPr>
        <w:t>，用以保障处理本合同业务执行过程中发生的安全事故。合同履行完毕，未发生安全事故的，发包方协助承揽方办理安全保障金退款手续。</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4</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135</w:t>
      </w:r>
      <w:r>
        <w:rPr>
          <w:rFonts w:hint="eastAsia" w:ascii="宋体" w:hAnsi="宋体"/>
          <w:b/>
          <w:color w:val="FF0000"/>
          <w:sz w:val="24"/>
          <w:szCs w:val="24"/>
        </w:rPr>
        <w:t>万元（大写：</w:t>
      </w:r>
      <w:r>
        <w:rPr>
          <w:rFonts w:hint="eastAsia" w:ascii="宋体" w:hAnsi="宋体"/>
          <w:b/>
          <w:color w:val="FF0000"/>
          <w:sz w:val="24"/>
          <w:szCs w:val="24"/>
          <w:lang w:eastAsia="zh-CN"/>
        </w:rPr>
        <w:t>壹佰叁拾伍万元整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spacing w:line="240" w:lineRule="atLeast"/>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cs="仿宋_GB2312"/>
          <w:color w:val="000000" w:themeColor="text1"/>
          <w:sz w:val="24"/>
          <w:szCs w:val="24"/>
        </w:rPr>
        <w:t>设备和安装分开报价（报价含税）。</w:t>
      </w:r>
    </w:p>
    <w:p>
      <w:pPr>
        <w:numPr>
          <w:ilvl w:val="0"/>
          <w:numId w:val="0"/>
        </w:numPr>
        <w:spacing w:line="240" w:lineRule="atLeast"/>
        <w:rPr>
          <w:rFonts w:hint="eastAsia" w:ascii="宋体" w:hAnsi="宋体" w:eastAsia="宋体" w:cs="宋体"/>
          <w:sz w:val="24"/>
          <w:szCs w:val="24"/>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p>
    <w:p>
      <w:pPr>
        <w:jc w:val="right"/>
        <w:rPr>
          <w:b/>
          <w:sz w:val="24"/>
          <w:szCs w:val="24"/>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焦化烟囱升降梯报价明细表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E3D391D"/>
    <w:multiLevelType w:val="singleLevel"/>
    <w:tmpl w:val="1E3D391D"/>
    <w:lvl w:ilvl="0" w:tentative="0">
      <w:start w:val="2"/>
      <w:numFmt w:val="decimal"/>
      <w:suff w:val="space"/>
      <w:lvlText w:val="%1."/>
      <w:lvlJc w:val="left"/>
      <w:pPr>
        <w:ind w:left="480" w:leftChars="0" w:firstLine="0" w:firstLineChars="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A80F02"/>
    <w:rsid w:val="0BFF25BD"/>
    <w:rsid w:val="0CBC295F"/>
    <w:rsid w:val="0DF07D84"/>
    <w:rsid w:val="0E497616"/>
    <w:rsid w:val="0E842CB1"/>
    <w:rsid w:val="0F0803D8"/>
    <w:rsid w:val="0F347211"/>
    <w:rsid w:val="10CA64E1"/>
    <w:rsid w:val="110928F7"/>
    <w:rsid w:val="11654D47"/>
    <w:rsid w:val="135C10D5"/>
    <w:rsid w:val="139F3DA1"/>
    <w:rsid w:val="13D07934"/>
    <w:rsid w:val="13D576D7"/>
    <w:rsid w:val="15F23ED0"/>
    <w:rsid w:val="16541AFE"/>
    <w:rsid w:val="1694444C"/>
    <w:rsid w:val="17F97F08"/>
    <w:rsid w:val="18ED4DB4"/>
    <w:rsid w:val="19B16948"/>
    <w:rsid w:val="1A3C18D0"/>
    <w:rsid w:val="1A8A6D05"/>
    <w:rsid w:val="1C730BDE"/>
    <w:rsid w:val="1CCB1E53"/>
    <w:rsid w:val="1D2E11E1"/>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A3F65BD"/>
    <w:rsid w:val="3A773720"/>
    <w:rsid w:val="3C456A69"/>
    <w:rsid w:val="3C487023"/>
    <w:rsid w:val="3C887586"/>
    <w:rsid w:val="3D5A40AB"/>
    <w:rsid w:val="3DB441B2"/>
    <w:rsid w:val="3E371640"/>
    <w:rsid w:val="3EB93F1F"/>
    <w:rsid w:val="3ED509DB"/>
    <w:rsid w:val="3F0B65A3"/>
    <w:rsid w:val="41394D83"/>
    <w:rsid w:val="41A706B0"/>
    <w:rsid w:val="42292AE8"/>
    <w:rsid w:val="422E1FDF"/>
    <w:rsid w:val="423C71D1"/>
    <w:rsid w:val="426213B7"/>
    <w:rsid w:val="42CE1EFE"/>
    <w:rsid w:val="4500284B"/>
    <w:rsid w:val="45407B03"/>
    <w:rsid w:val="455A1E29"/>
    <w:rsid w:val="45C004AA"/>
    <w:rsid w:val="47AD4330"/>
    <w:rsid w:val="47DF42C8"/>
    <w:rsid w:val="49280B38"/>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2020-11-24T07:31:04Z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