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高炉物料粒度智能检测</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highlight w:val="none"/>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highlight w:val="none"/>
          <w:u w:val="single"/>
          <w:lang w:val="en-US" w:eastAsia="zh-CN"/>
        </w:rPr>
        <w:t>12</w:t>
      </w:r>
      <w:r>
        <w:rPr>
          <w:rFonts w:hint="eastAsia"/>
          <w:color w:val="000000"/>
          <w:sz w:val="24"/>
          <w:szCs w:val="24"/>
          <w:highlight w:val="none"/>
        </w:rPr>
        <w:t>月</w:t>
      </w:r>
      <w:r>
        <w:rPr>
          <w:rFonts w:hint="eastAsia"/>
          <w:color w:val="000000"/>
          <w:sz w:val="24"/>
          <w:szCs w:val="24"/>
          <w:highlight w:val="none"/>
          <w:u w:val="single"/>
          <w:lang w:val="en-US" w:eastAsia="zh-CN"/>
        </w:rPr>
        <w:t>23</w:t>
      </w:r>
      <w:r>
        <w:rPr>
          <w:rFonts w:hint="eastAsia"/>
          <w:color w:val="000000"/>
          <w:sz w:val="24"/>
          <w:szCs w:val="24"/>
          <w:highlight w:val="none"/>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LTB</w:t>
      </w:r>
      <w:r>
        <w:rPr>
          <w:rFonts w:hint="eastAsia" w:ascii="宋体" w:hAnsi="宋体"/>
          <w:color w:val="000000"/>
        </w:rPr>
        <w:t>2020</w:t>
      </w:r>
      <w:r>
        <w:rPr>
          <w:rFonts w:hint="eastAsia" w:ascii="宋体" w:hAnsi="宋体"/>
          <w:color w:val="000000"/>
          <w:lang w:val="en-US" w:eastAsia="zh-CN"/>
        </w:rPr>
        <w:t>12</w:t>
      </w:r>
      <w:r>
        <w:rPr>
          <w:rFonts w:hint="eastAsia" w:ascii="宋体" w:hAnsi="宋体"/>
          <w:color w:val="000000"/>
        </w:rPr>
        <w:t>00</w:t>
      </w:r>
      <w:r>
        <w:rPr>
          <w:rFonts w:hint="eastAsia" w:ascii="宋体" w:hAnsi="宋体"/>
          <w:color w:val="000000"/>
          <w:lang w:val="en-US" w:eastAsia="zh-CN"/>
        </w:rPr>
        <w:t>4GLWLLDZNJC</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高炉物料粒度智能检测</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default" w:ascii="宋体" w:hAnsi="宋体"/>
          <w:sz w:val="24"/>
          <w:szCs w:val="24"/>
          <w:lang w:val="en-US" w:eastAsia="zh-CN"/>
        </w:rPr>
      </w:pPr>
      <w:r>
        <w:rPr>
          <w:rFonts w:hint="eastAsia" w:ascii="宋体" w:hAnsi="宋体"/>
          <w:sz w:val="24"/>
          <w:szCs w:val="24"/>
          <w:lang w:val="en-US" w:eastAsia="zh-CN"/>
        </w:rPr>
        <w:t>工程管理部：王鹏     18955329095</w:t>
      </w:r>
    </w:p>
    <w:p>
      <w:pPr>
        <w:rPr>
          <w:rFonts w:hint="default" w:ascii="宋体" w:hAnsi="宋体" w:eastAsia="宋体"/>
          <w:sz w:val="24"/>
          <w:szCs w:val="24"/>
          <w:lang w:val="en-US" w:eastAsia="zh-CN"/>
        </w:rPr>
      </w:pPr>
      <w:r>
        <w:rPr>
          <w:rFonts w:hint="eastAsia" w:ascii="宋体" w:hAnsi="宋体"/>
          <w:sz w:val="24"/>
          <w:szCs w:val="24"/>
          <w:lang w:eastAsia="zh-CN"/>
        </w:rPr>
        <w:t>炼铁</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张红军</w:t>
      </w:r>
      <w:r>
        <w:rPr>
          <w:rFonts w:hint="eastAsia" w:ascii="宋体" w:hAnsi="宋体"/>
          <w:sz w:val="24"/>
          <w:szCs w:val="24"/>
          <w:lang w:val="en-US" w:eastAsia="zh-CN"/>
        </w:rPr>
        <w:t xml:space="preserve">   18375306665</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highlight w:val="none"/>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highlight w:val="none"/>
        </w:rPr>
        <w:t>年</w:t>
      </w:r>
      <w:r>
        <w:rPr>
          <w:rFonts w:hint="eastAsia" w:ascii="宋体" w:hAnsi="宋体"/>
          <w:sz w:val="24"/>
          <w:szCs w:val="24"/>
          <w:highlight w:val="none"/>
          <w:lang w:val="en-US" w:eastAsia="zh-CN"/>
        </w:rPr>
        <w:t>12</w:t>
      </w:r>
      <w:r>
        <w:rPr>
          <w:rFonts w:ascii="宋体" w:hAnsi="宋体"/>
          <w:bCs/>
          <w:sz w:val="24"/>
          <w:szCs w:val="24"/>
          <w:highlight w:val="none"/>
        </w:rPr>
        <w:t>月</w:t>
      </w:r>
      <w:r>
        <w:rPr>
          <w:rFonts w:hint="eastAsia" w:ascii="宋体" w:hAnsi="宋体"/>
          <w:sz w:val="24"/>
          <w:szCs w:val="24"/>
          <w:highlight w:val="none"/>
          <w:lang w:val="en-US" w:eastAsia="zh-CN"/>
        </w:rPr>
        <w:t>29</w:t>
      </w:r>
      <w:r>
        <w:rPr>
          <w:rFonts w:ascii="宋体" w:hAnsi="宋体"/>
          <w:bCs/>
          <w:sz w:val="24"/>
          <w:szCs w:val="24"/>
          <w:highlight w:val="none"/>
        </w:rPr>
        <w:t>日</w:t>
      </w:r>
      <w:r>
        <w:rPr>
          <w:rFonts w:hint="eastAsia" w:ascii="宋体" w:hAnsi="宋体"/>
          <w:bCs/>
          <w:sz w:val="24"/>
          <w:szCs w:val="24"/>
          <w:highlight w:val="none"/>
          <w:lang w:val="en-US" w:eastAsia="zh-CN"/>
        </w:rPr>
        <w:t>16：30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bCs/>
          <w:sz w:val="24"/>
          <w:szCs w:val="24"/>
          <w:highlight w:val="none"/>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1</w:t>
      </w:r>
      <w:r>
        <w:rPr>
          <w:rFonts w:ascii="宋体" w:hAnsi="宋体"/>
          <w:bCs/>
          <w:sz w:val="24"/>
          <w:szCs w:val="24"/>
          <w:highlight w:val="none"/>
        </w:rPr>
        <w:t>月</w:t>
      </w:r>
      <w:r>
        <w:rPr>
          <w:rFonts w:hint="eastAsia" w:ascii="宋体" w:hAnsi="宋体"/>
          <w:sz w:val="24"/>
          <w:szCs w:val="24"/>
          <w:highlight w:val="none"/>
          <w:lang w:val="en-US" w:eastAsia="zh-CN"/>
        </w:rPr>
        <w:t>7</w:t>
      </w:r>
      <w:r>
        <w:rPr>
          <w:rFonts w:ascii="宋体" w:hAnsi="宋体"/>
          <w:bCs/>
          <w:sz w:val="24"/>
          <w:szCs w:val="24"/>
          <w:highlight w:val="none"/>
        </w:rPr>
        <w:t>日</w:t>
      </w:r>
      <w:r>
        <w:rPr>
          <w:rFonts w:hint="eastAsia"/>
          <w:color w:val="2A2A2A"/>
          <w:sz w:val="24"/>
          <w:szCs w:val="24"/>
          <w:highlight w:val="none"/>
          <w:shd w:val="clear" w:color="auto" w:fill="FFFFFF"/>
        </w:rPr>
        <w:t>上午</w:t>
      </w:r>
      <w:r>
        <w:rPr>
          <w:rFonts w:hint="eastAsia"/>
          <w:color w:val="2A2A2A"/>
          <w:sz w:val="24"/>
          <w:szCs w:val="24"/>
          <w:highlight w:val="none"/>
          <w:shd w:val="clear" w:color="auto" w:fill="FFFFFF"/>
          <w:lang w:val="en-US" w:eastAsia="zh-CN"/>
        </w:rPr>
        <w:t>9:30</w:t>
      </w:r>
      <w:r>
        <w:rPr>
          <w:rFonts w:hint="eastAsia" w:ascii="宋体" w:hAnsi="宋体"/>
          <w:bCs/>
          <w:sz w:val="24"/>
          <w:szCs w:val="24"/>
          <w:highlight w:val="none"/>
        </w:rPr>
        <w:t>，在</w:t>
      </w:r>
      <w:r>
        <w:rPr>
          <w:rFonts w:hint="eastAsia" w:ascii="宋体" w:hAnsi="宋体"/>
          <w:bCs/>
          <w:sz w:val="24"/>
          <w:szCs w:val="24"/>
        </w:rPr>
        <w:t>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highlight w:val="none"/>
          <w:lang w:val="en-US" w:eastAsia="zh-CN"/>
        </w:rPr>
        <w:t>12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29</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bookmarkStart w:id="0" w:name="_GoBack"/>
      <w:bookmarkEnd w:id="0"/>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szCs w:val="22"/>
          <w:lang w:eastAsia="zh-CN"/>
        </w:rPr>
        <w:t>设备付款方式：设备安装调试验收合格付款</w:t>
      </w:r>
      <w:r>
        <w:rPr>
          <w:rFonts w:hint="eastAsia" w:ascii="宋体" w:hAnsi="宋体"/>
          <w:sz w:val="24"/>
          <w:szCs w:val="22"/>
          <w:lang w:val="en-US" w:eastAsia="zh-CN"/>
        </w:rPr>
        <w:t>6</w:t>
      </w:r>
      <w:r>
        <w:rPr>
          <w:rFonts w:hint="eastAsia" w:ascii="宋体" w:hAnsi="宋体"/>
          <w:sz w:val="24"/>
          <w:szCs w:val="22"/>
          <w:lang w:eastAsia="zh-CN"/>
        </w:rPr>
        <w:t>0%，设备正常运行三个月付</w:t>
      </w:r>
      <w:r>
        <w:rPr>
          <w:rFonts w:hint="eastAsia" w:ascii="宋体" w:hAnsi="宋体"/>
          <w:sz w:val="24"/>
          <w:szCs w:val="22"/>
          <w:lang w:val="en-US" w:eastAsia="zh-CN"/>
        </w:rPr>
        <w:t>30</w:t>
      </w:r>
      <w:r>
        <w:rPr>
          <w:rFonts w:hint="eastAsia" w:ascii="宋体" w:hAnsi="宋体"/>
          <w:sz w:val="24"/>
          <w:szCs w:val="22"/>
          <w:lang w:eastAsia="zh-CN"/>
        </w:rPr>
        <w:t>%，设备正常运行十二个月付</w:t>
      </w:r>
      <w:r>
        <w:rPr>
          <w:rFonts w:hint="eastAsia" w:ascii="宋体" w:hAnsi="宋体"/>
          <w:sz w:val="24"/>
          <w:szCs w:val="22"/>
          <w:lang w:val="en-US" w:eastAsia="zh-CN"/>
        </w:rPr>
        <w:t>10</w:t>
      </w:r>
      <w:r>
        <w:rPr>
          <w:rFonts w:hint="eastAsia" w:ascii="宋体" w:hAnsi="宋体"/>
          <w:sz w:val="24"/>
          <w:szCs w:val="22"/>
          <w:lang w:eastAsia="zh-CN"/>
        </w:rPr>
        <w:t>%。报价含1</w:t>
      </w:r>
      <w:r>
        <w:rPr>
          <w:rFonts w:hint="eastAsia" w:ascii="宋体" w:hAnsi="宋体"/>
          <w:sz w:val="24"/>
          <w:szCs w:val="22"/>
          <w:lang w:val="en-US" w:eastAsia="zh-CN"/>
        </w:rPr>
        <w:t>3</w:t>
      </w:r>
      <w:r>
        <w:rPr>
          <w:rFonts w:hint="eastAsia" w:ascii="宋体" w:hAnsi="宋体"/>
          <w:sz w:val="24"/>
          <w:szCs w:val="22"/>
          <w:lang w:eastAsia="zh-CN"/>
        </w:rPr>
        <w:t>%税 。</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lang w:val="en-US" w:eastAsia="zh-CN"/>
        </w:rPr>
        <w:t xml:space="preserve">1. </w:t>
      </w:r>
      <w:r>
        <w:rPr>
          <w:rFonts w:hint="eastAsia"/>
          <w:sz w:val="24"/>
          <w:szCs w:val="24"/>
        </w:rPr>
        <w:t>技术要求：</w:t>
      </w:r>
      <w:r>
        <w:rPr>
          <w:rFonts w:hint="eastAsia"/>
          <w:sz w:val="24"/>
          <w:szCs w:val="24"/>
          <w:lang w:eastAsia="zh-CN"/>
        </w:rPr>
        <w:t>满足《</w:t>
      </w:r>
      <w:r>
        <w:rPr>
          <w:rFonts w:hint="eastAsia"/>
          <w:sz w:val="24"/>
          <w:szCs w:val="24"/>
          <w:lang w:val="en-US" w:eastAsia="zh-CN"/>
        </w:rPr>
        <w:t>高炉物料粒度智能识别技术规格书</w:t>
      </w:r>
      <w:r>
        <w:rPr>
          <w:rFonts w:hint="eastAsia"/>
          <w:sz w:val="24"/>
          <w:szCs w:val="24"/>
          <w:lang w:eastAsia="zh-CN"/>
        </w:rPr>
        <w:t>》的要求</w:t>
      </w:r>
      <w:r>
        <w:rPr>
          <w:rFonts w:hint="eastAsia"/>
          <w:sz w:val="24"/>
          <w:szCs w:val="24"/>
        </w:rPr>
        <w:t>。</w:t>
      </w:r>
    </w:p>
    <w:p>
      <w:pPr>
        <w:tabs>
          <w:tab w:val="left" w:pos="2680"/>
        </w:tabs>
        <w:ind w:firstLine="480" w:firstLineChars="200"/>
        <w:jc w:val="left"/>
        <w:rPr>
          <w:rFonts w:hint="default" w:eastAsia="宋体"/>
          <w:sz w:val="24"/>
          <w:lang w:val="en-US" w:eastAsia="zh-CN"/>
        </w:rPr>
      </w:pPr>
      <w:r>
        <w:rPr>
          <w:rFonts w:hint="eastAsia"/>
          <w:sz w:val="24"/>
          <w:szCs w:val="24"/>
          <w:lang w:val="en-US" w:eastAsia="zh-CN"/>
        </w:rPr>
        <w:t>2</w:t>
      </w:r>
      <w:r>
        <w:rPr>
          <w:rFonts w:hint="eastAsia"/>
          <w:sz w:val="24"/>
          <w:szCs w:val="24"/>
        </w:rPr>
        <w:t>.</w:t>
      </w:r>
      <w:r>
        <w:rPr>
          <w:rFonts w:hint="eastAsia" w:ascii="宋体" w:hAnsi="宋体"/>
          <w:sz w:val="24"/>
          <w:szCs w:val="24"/>
        </w:rPr>
        <w:t xml:space="preserve"> </w:t>
      </w:r>
      <w:r>
        <w:rPr>
          <w:rFonts w:hint="eastAsia"/>
          <w:sz w:val="24"/>
          <w:szCs w:val="24"/>
        </w:rPr>
        <w:t>投标</w:t>
      </w:r>
      <w:r>
        <w:rPr>
          <w:rFonts w:hint="eastAsia"/>
          <w:sz w:val="24"/>
          <w:szCs w:val="24"/>
          <w:lang w:eastAsia="zh-CN"/>
        </w:rPr>
        <w:t>方</w:t>
      </w:r>
      <w:r>
        <w:rPr>
          <w:rFonts w:hint="eastAsia"/>
          <w:sz w:val="24"/>
          <w:szCs w:val="24"/>
        </w:rPr>
        <w:t>需了解</w:t>
      </w:r>
      <w:r>
        <w:rPr>
          <w:rFonts w:hint="eastAsia"/>
          <w:sz w:val="24"/>
          <w:szCs w:val="24"/>
          <w:lang w:eastAsia="zh-CN"/>
        </w:rPr>
        <w:t>现场</w:t>
      </w:r>
      <w:r>
        <w:rPr>
          <w:rFonts w:hint="eastAsia"/>
          <w:sz w:val="24"/>
          <w:szCs w:val="24"/>
        </w:rPr>
        <w:t>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2020</w:t>
      </w:r>
      <w:r>
        <w:rPr>
          <w:rFonts w:ascii="宋体" w:hAnsi="宋体"/>
          <w:sz w:val="24"/>
          <w:szCs w:val="24"/>
          <w:highlight w:val="none"/>
        </w:rPr>
        <w:t>年</w:t>
      </w:r>
      <w:r>
        <w:rPr>
          <w:rFonts w:hint="eastAsia" w:ascii="宋体" w:hAnsi="宋体"/>
          <w:sz w:val="24"/>
          <w:szCs w:val="24"/>
          <w:highlight w:val="none"/>
          <w:lang w:val="en-US" w:eastAsia="zh-CN"/>
        </w:rPr>
        <w:t>12</w:t>
      </w:r>
      <w:r>
        <w:rPr>
          <w:rFonts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高炉物料粒度智能检测报价明细表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F0803D8"/>
    <w:rsid w:val="0F347211"/>
    <w:rsid w:val="10CA64E1"/>
    <w:rsid w:val="110928F7"/>
    <w:rsid w:val="11654D47"/>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7B66F98"/>
    <w:rsid w:val="288D3DC5"/>
    <w:rsid w:val="28E2171B"/>
    <w:rsid w:val="29401D6D"/>
    <w:rsid w:val="2B9A196C"/>
    <w:rsid w:val="2BF40243"/>
    <w:rsid w:val="2C204052"/>
    <w:rsid w:val="2C4E01C4"/>
    <w:rsid w:val="2CF31D5E"/>
    <w:rsid w:val="2E3D1B0F"/>
    <w:rsid w:val="2E4345D8"/>
    <w:rsid w:val="3036622A"/>
    <w:rsid w:val="306C0A5F"/>
    <w:rsid w:val="30CA3841"/>
    <w:rsid w:val="3130279D"/>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280</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2020-12-23T05:22:14Z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