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高压软启动装置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highlight w:val="none"/>
          <w:u w:val="single"/>
          <w:lang w:val="en-US" w:eastAsia="zh-CN"/>
        </w:rPr>
        <w:t>29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DKB</w:t>
      </w:r>
      <w:r>
        <w:rPr>
          <w:rFonts w:hint="eastAsia" w:ascii="宋体" w:hAnsi="宋体"/>
          <w:color w:val="000000"/>
        </w:rPr>
        <w:t>2020</w:t>
      </w:r>
      <w:r>
        <w:rPr>
          <w:rFonts w:hint="eastAsia" w:ascii="宋体" w:hAnsi="宋体"/>
          <w:color w:val="000000"/>
          <w:lang w:val="en-US" w:eastAsia="zh-CN"/>
        </w:rPr>
        <w:t>12</w:t>
      </w:r>
      <w:r>
        <w:rPr>
          <w:rFonts w:hint="eastAsia" w:ascii="宋体" w:hAnsi="宋体"/>
          <w:color w:val="000000"/>
        </w:rPr>
        <w:t>00</w:t>
      </w:r>
      <w:r>
        <w:rPr>
          <w:rFonts w:hint="eastAsia" w:ascii="宋体" w:hAnsi="宋体"/>
          <w:color w:val="000000"/>
          <w:lang w:val="en-US" w:eastAsia="zh-CN"/>
        </w:rPr>
        <w:t>6GYRQDZZ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高压软启动装置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动控</w:t>
      </w:r>
      <w:r>
        <w:rPr>
          <w:rFonts w:hint="eastAsia" w:ascii="宋体" w:hAnsi="宋体"/>
          <w:sz w:val="24"/>
          <w:szCs w:val="24"/>
        </w:rPr>
        <w:t>部：</w:t>
      </w:r>
      <w:r>
        <w:rPr>
          <w:rFonts w:hint="eastAsia" w:ascii="宋体" w:hAnsi="宋体"/>
          <w:sz w:val="24"/>
          <w:szCs w:val="24"/>
          <w:lang w:val="en-US" w:eastAsia="zh-CN"/>
        </w:rPr>
        <w:t xml:space="preserve">    徐进     18055334161</w:t>
      </w:r>
    </w:p>
    <w:p>
      <w:pPr>
        <w:rPr>
          <w:rFonts w:hint="eastAsia" w:ascii="宋体" w:hAnsi="宋体"/>
          <w:sz w:val="24"/>
          <w:szCs w:val="24"/>
          <w:lang w:val="en-US" w:eastAsia="zh-CN"/>
        </w:rPr>
      </w:pPr>
      <w:r>
        <w:rPr>
          <w:rFonts w:hint="eastAsia" w:ascii="宋体" w:hAnsi="宋体"/>
          <w:sz w:val="24"/>
          <w:szCs w:val="24"/>
          <w:lang w:val="en-US" w:eastAsia="zh-CN"/>
        </w:rPr>
        <w:t xml:space="preserve">工程管理部：黄开平   15056479749  </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highlight w:val="none"/>
          <w:lang w:val="en-US" w:eastAsia="zh-CN"/>
        </w:rPr>
        <w:t>5</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6</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bCs/>
          <w:color w:val="7030A0"/>
          <w:sz w:val="24"/>
          <w:szCs w:val="24"/>
          <w:lang w:val="en-US" w:eastAsia="zh-CN"/>
        </w:rPr>
        <w:t>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2"/>
          <w:lang w:eastAsia="zh-CN"/>
        </w:rPr>
        <w:t>设备付款方式：</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ilvl w:val="0"/>
          <w:numId w:val="0"/>
        </w:numPr>
        <w:spacing w:line="440" w:lineRule="exact"/>
        <w:ind w:left="798" w:leftChars="380" w:firstLine="0" w:firstLineChars="0"/>
        <w:rPr>
          <w:rFonts w:hint="eastAsia" w:ascii="宋体" w:hAnsi="宋体" w:eastAsia="宋体"/>
          <w:sz w:val="24"/>
          <w:szCs w:val="22"/>
          <w:lang w:val="en-US" w:eastAsia="zh-CN"/>
        </w:rPr>
      </w:pPr>
      <w:r>
        <w:rPr>
          <w:rFonts w:hint="eastAsia" w:ascii="宋体" w:hAnsi="宋体"/>
          <w:sz w:val="24"/>
          <w:szCs w:val="22"/>
          <w:lang w:eastAsia="zh-CN"/>
        </w:rPr>
        <w:t>（</w:t>
      </w:r>
      <w:r>
        <w:rPr>
          <w:rFonts w:hint="eastAsia" w:ascii="宋体" w:hAnsi="宋体"/>
          <w:sz w:val="24"/>
          <w:szCs w:val="22"/>
          <w:lang w:val="en-US" w:eastAsia="zh-CN"/>
        </w:rPr>
        <w:t>2</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高压软启动装置</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高压软启动装置</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ascii="宋体" w:hAnsi="宋体" w:eastAsia="宋体"/>
          <w:sz w:val="24"/>
          <w:szCs w:val="24"/>
          <w:lang w:eastAsia="zh-CN"/>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ascii="宋体" w:hAnsi="宋体"/>
          <w:sz w:val="24"/>
          <w:szCs w:val="24"/>
          <w:lang w:eastAsia="zh-CN"/>
        </w:rPr>
        <w:t>详细要求见技术规格书。</w:t>
      </w:r>
    </w:p>
    <w:p>
      <w:pPr>
        <w:tabs>
          <w:tab w:val="left" w:pos="2680"/>
        </w:tabs>
        <w:ind w:firstLine="480" w:firstLineChars="200"/>
        <w:jc w:val="left"/>
        <w:rPr>
          <w:rFonts w:hint="default" w:eastAsia="宋体"/>
          <w:sz w:val="24"/>
          <w:szCs w:val="24"/>
          <w:lang w:val="en-US" w:eastAsia="zh-CN"/>
        </w:rPr>
      </w:pPr>
      <w:r>
        <w:rPr>
          <w:rFonts w:hint="eastAsia" w:ascii="宋体" w:hAnsi="宋体"/>
          <w:sz w:val="24"/>
          <w:szCs w:val="24"/>
          <w:lang w:val="en-US" w:eastAsia="zh-CN"/>
        </w:rPr>
        <w:t>3.</w:t>
      </w:r>
      <w:r>
        <w:rPr>
          <w:rFonts w:hint="eastAsia"/>
          <w:sz w:val="24"/>
          <w:szCs w:val="24"/>
        </w:rPr>
        <w:t>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bookmarkStart w:id="0" w:name="_GoBack"/>
      <w:bookmarkEnd w:id="0"/>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高压软启动装置报价明细表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6BA7CAF"/>
    <w:rsid w:val="17F97F08"/>
    <w:rsid w:val="18ED4DB4"/>
    <w:rsid w:val="19B16948"/>
    <w:rsid w:val="1A3C18D0"/>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ED509DB"/>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8C9225B"/>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7</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2020-12-29T07:40:57Z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