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投光灯及高杆灯</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rPr>
        <w:t>月</w:t>
      </w:r>
      <w:r>
        <w:rPr>
          <w:rFonts w:hint="eastAsia"/>
          <w:color w:val="000000"/>
          <w:sz w:val="24"/>
          <w:szCs w:val="24"/>
          <w:highlight w:val="none"/>
          <w:u w:val="single"/>
          <w:lang w:val="en-US" w:eastAsia="zh-CN"/>
        </w:rPr>
        <w:t>4</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YSB</w:t>
      </w:r>
      <w:r>
        <w:rPr>
          <w:rFonts w:hint="eastAsia" w:ascii="宋体" w:hAnsi="宋体"/>
          <w:color w:val="000000"/>
        </w:rPr>
        <w:t>202</w:t>
      </w:r>
      <w:r>
        <w:rPr>
          <w:rFonts w:hint="eastAsia" w:ascii="宋体" w:hAnsi="宋体"/>
          <w:color w:val="000000"/>
          <w:lang w:val="en-US" w:eastAsia="zh-CN"/>
        </w:rPr>
        <w:t>11</w:t>
      </w:r>
      <w:r>
        <w:rPr>
          <w:rFonts w:hint="eastAsia" w:ascii="宋体" w:hAnsi="宋体"/>
          <w:color w:val="000000"/>
        </w:rPr>
        <w:t>00</w:t>
      </w:r>
      <w:r>
        <w:rPr>
          <w:rFonts w:hint="eastAsia" w:ascii="宋体" w:hAnsi="宋体"/>
          <w:color w:val="000000"/>
          <w:lang w:val="en-US" w:eastAsia="zh-CN"/>
        </w:rPr>
        <w:t>1GGDJTGD</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投光灯及高杆灯</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default" w:ascii="宋体" w:hAnsi="宋体"/>
          <w:sz w:val="24"/>
          <w:szCs w:val="24"/>
          <w:lang w:val="en-US" w:eastAsia="zh-CN"/>
        </w:rPr>
      </w:pPr>
      <w:r>
        <w:rPr>
          <w:rFonts w:hint="eastAsia" w:ascii="宋体" w:hAnsi="宋体"/>
          <w:sz w:val="24"/>
          <w:szCs w:val="24"/>
          <w:lang w:eastAsia="zh-CN"/>
        </w:rPr>
        <w:t>运输</w:t>
      </w:r>
      <w:r>
        <w:rPr>
          <w:rFonts w:hint="eastAsia" w:ascii="宋体" w:hAnsi="宋体"/>
          <w:sz w:val="24"/>
          <w:szCs w:val="24"/>
        </w:rPr>
        <w:t>部：</w:t>
      </w:r>
      <w:r>
        <w:rPr>
          <w:rFonts w:hint="eastAsia" w:ascii="宋体" w:hAnsi="宋体"/>
          <w:sz w:val="24"/>
          <w:szCs w:val="24"/>
          <w:lang w:val="en-US" w:eastAsia="zh-CN"/>
        </w:rPr>
        <w:t xml:space="preserve">    何海江   15605539278</w:t>
      </w:r>
    </w:p>
    <w:p>
      <w:pPr>
        <w:rPr>
          <w:rFonts w:hint="eastAsia" w:ascii="宋体" w:hAnsi="宋体"/>
          <w:sz w:val="24"/>
          <w:szCs w:val="24"/>
          <w:lang w:val="en-US" w:eastAsia="zh-CN"/>
        </w:rPr>
      </w:pPr>
      <w:r>
        <w:rPr>
          <w:rFonts w:hint="eastAsia" w:ascii="宋体" w:hAnsi="宋体"/>
          <w:sz w:val="24"/>
          <w:szCs w:val="24"/>
          <w:lang w:val="en-US" w:eastAsia="zh-CN"/>
        </w:rPr>
        <w:t xml:space="preserve">工程管理部：王鹏     18955329095  </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1</w:t>
      </w:r>
      <w:r>
        <w:rPr>
          <w:rFonts w:ascii="宋体" w:hAnsi="宋体"/>
          <w:bCs/>
          <w:sz w:val="24"/>
          <w:szCs w:val="24"/>
        </w:rPr>
        <w:t>月</w:t>
      </w:r>
      <w:r>
        <w:rPr>
          <w:rFonts w:hint="eastAsia" w:ascii="宋体" w:hAnsi="宋体"/>
          <w:sz w:val="24"/>
          <w:szCs w:val="24"/>
          <w:highlight w:val="none"/>
          <w:lang w:val="en-US" w:eastAsia="zh-CN"/>
        </w:rPr>
        <w:t>11</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:2021</w:t>
      </w:r>
      <w:r>
        <w:rPr>
          <w:rFonts w:ascii="宋体" w:hAnsi="宋体"/>
          <w:bCs/>
          <w:sz w:val="24"/>
          <w:szCs w:val="24"/>
        </w:rPr>
        <w:t>年</w:t>
      </w:r>
      <w:r>
        <w:rPr>
          <w:rFonts w:hint="eastAsia" w:ascii="宋体" w:hAnsi="宋体"/>
          <w:sz w:val="24"/>
          <w:szCs w:val="24"/>
          <w:highlight w:val="none"/>
          <w:lang w:val="en-US" w:eastAsia="zh-CN"/>
        </w:rPr>
        <w:t>1</w:t>
      </w:r>
      <w:r>
        <w:rPr>
          <w:rFonts w:ascii="宋体" w:hAnsi="宋体"/>
          <w:bCs/>
          <w:sz w:val="24"/>
          <w:szCs w:val="24"/>
          <w:highlight w:val="none"/>
        </w:rPr>
        <w:t>月</w:t>
      </w:r>
      <w:r>
        <w:rPr>
          <w:rFonts w:hint="eastAsia" w:ascii="宋体" w:hAnsi="宋体"/>
          <w:sz w:val="24"/>
          <w:szCs w:val="24"/>
          <w:highlight w:val="none"/>
          <w:lang w:val="en-US" w:eastAsia="zh-CN"/>
        </w:rPr>
        <w:t>13</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hint="eastAsia" w:ascii="宋体" w:hAnsi="宋体" w:eastAsia="宋体"/>
          <w:b/>
          <w:bCs/>
          <w:color w:val="4F81BD"/>
          <w:sz w:val="28"/>
          <w:szCs w:val="28"/>
          <w:lang w:eastAsia="zh-CN"/>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w:t>
      </w:r>
      <w:r>
        <w:rPr>
          <w:rFonts w:hint="eastAsia" w:ascii="宋体" w:hAnsi="宋体"/>
          <w:bCs/>
          <w:color w:val="7030A0"/>
          <w:sz w:val="24"/>
          <w:szCs w:val="24"/>
        </w:rPr>
        <w:t>月</w:t>
      </w:r>
      <w:r>
        <w:rPr>
          <w:rFonts w:hint="eastAsia" w:ascii="宋体" w:hAnsi="宋体"/>
          <w:bCs/>
          <w:color w:val="7030A0"/>
          <w:sz w:val="24"/>
          <w:szCs w:val="24"/>
          <w:lang w:val="en-US" w:eastAsia="zh-CN"/>
        </w:rPr>
        <w:t>11</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sz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2"/>
          <w:lang w:eastAsia="zh-CN"/>
        </w:rPr>
        <w:t>设备付款方式：</w:t>
      </w:r>
      <w:r>
        <w:rPr>
          <w:rFonts w:hint="eastAsia" w:ascii="宋体" w:hAnsi="宋体"/>
          <w:sz w:val="24"/>
          <w:szCs w:val="22"/>
          <w:lang w:val="en-US" w:eastAsia="zh-CN"/>
        </w:rPr>
        <w:t>0-</w:t>
      </w:r>
      <w:r>
        <w:rPr>
          <w:rFonts w:hint="eastAsia" w:ascii="宋体" w:hAnsi="宋体"/>
          <w:sz w:val="24"/>
          <w:szCs w:val="24"/>
          <w:lang w:val="en-US" w:eastAsia="zh-CN"/>
        </w:rPr>
        <w:t>6-3-1（</w:t>
      </w:r>
      <w:r>
        <w:rPr>
          <w:rFonts w:hint="eastAsia" w:ascii="宋体" w:hAnsi="宋体"/>
          <w:sz w:val="24"/>
        </w:rPr>
        <w:t>货到付款60%，正常运行三个月付款30%，留</w:t>
      </w:r>
    </w:p>
    <w:p>
      <w:pPr>
        <w:spacing w:line="440" w:lineRule="exact"/>
        <w:ind w:firstLine="720" w:firstLineChars="300"/>
        <w:rPr>
          <w:rFonts w:hint="eastAsia" w:ascii="宋体" w:hAnsi="宋体"/>
          <w:sz w:val="24"/>
          <w:lang w:eastAsia="zh-CN"/>
        </w:rPr>
      </w:pPr>
      <w:r>
        <w:rPr>
          <w:rFonts w:hint="eastAsia" w:ascii="宋体" w:hAnsi="宋体"/>
          <w:sz w:val="24"/>
        </w:rPr>
        <w:t>10%质保金一年后无质量异议付清</w:t>
      </w:r>
      <w:r>
        <w:rPr>
          <w:rFonts w:hint="eastAsia" w:ascii="宋体" w:hAnsi="宋体"/>
          <w:sz w:val="24"/>
          <w:lang w:eastAsia="zh-CN"/>
        </w:rPr>
        <w:t>）</w:t>
      </w:r>
      <w:r>
        <w:rPr>
          <w:rFonts w:hint="eastAsia" w:ascii="宋体" w:hAnsi="宋体" w:eastAsia="宋体" w:cs="宋体"/>
          <w:sz w:val="24"/>
          <w:szCs w:val="24"/>
          <w:lang w:val="en-US" w:eastAsia="zh-CN"/>
        </w:rPr>
        <w:t>。</w:t>
      </w:r>
    </w:p>
    <w:p>
      <w:pPr>
        <w:numPr>
          <w:ilvl w:val="0"/>
          <w:numId w:val="0"/>
        </w:numPr>
        <w:spacing w:line="440" w:lineRule="exact"/>
        <w:ind w:left="798" w:leftChars="380" w:firstLine="0" w:firstLineChars="0"/>
        <w:rPr>
          <w:rFonts w:hint="eastAsia" w:ascii="宋体" w:hAnsi="宋体" w:eastAsia="宋体"/>
          <w:sz w:val="24"/>
          <w:szCs w:val="22"/>
          <w:lang w:val="en-US" w:eastAsia="zh-CN"/>
        </w:rPr>
      </w:pPr>
      <w:r>
        <w:rPr>
          <w:rFonts w:hint="eastAsia" w:ascii="宋体" w:hAnsi="宋体"/>
          <w:sz w:val="24"/>
          <w:szCs w:val="22"/>
          <w:lang w:eastAsia="zh-CN"/>
        </w:rPr>
        <w:t>（</w:t>
      </w:r>
      <w:r>
        <w:rPr>
          <w:rFonts w:hint="eastAsia" w:ascii="宋体" w:hAnsi="宋体"/>
          <w:sz w:val="24"/>
          <w:szCs w:val="22"/>
          <w:lang w:val="en-US" w:eastAsia="zh-CN"/>
        </w:rPr>
        <w:t>2</w:t>
      </w:r>
      <w:r>
        <w:rPr>
          <w:rFonts w:hint="eastAsia" w:ascii="宋体" w:hAnsi="宋体"/>
          <w:sz w:val="24"/>
          <w:szCs w:val="22"/>
          <w:lang w:eastAsia="zh-CN"/>
        </w:rPr>
        <w:t>）</w:t>
      </w:r>
      <w:r>
        <w:rPr>
          <w:rFonts w:hint="eastAsia" w:ascii="宋体" w:hAnsi="宋体"/>
          <w:sz w:val="24"/>
        </w:rPr>
        <w:t>结算方式均为6个月银行承兑汇票</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C</w:t>
      </w:r>
      <w:r>
        <w:rPr>
          <w:rFonts w:hint="eastAsia" w:ascii="宋体" w:hAnsi="宋体"/>
          <w:sz w:val="24"/>
          <w:szCs w:val="24"/>
        </w:rPr>
        <w:t>类物资进行评分，按分数从高到低顺序进行推荐中标候选人。价格：</w:t>
      </w:r>
      <w:r>
        <w:rPr>
          <w:rFonts w:hint="eastAsia" w:ascii="宋体" w:hAnsi="宋体"/>
          <w:sz w:val="24"/>
          <w:szCs w:val="24"/>
          <w:lang w:val="en-US" w:eastAsia="zh-CN"/>
        </w:rPr>
        <w:t>5</w:t>
      </w:r>
      <w:r>
        <w:rPr>
          <w:rFonts w:hint="eastAsia" w:ascii="宋体" w:hAnsi="宋体"/>
          <w:sz w:val="24"/>
          <w:szCs w:val="24"/>
        </w:rPr>
        <w:t>0分，  质量：</w:t>
      </w:r>
      <w:r>
        <w:rPr>
          <w:rFonts w:hint="eastAsia" w:ascii="宋体" w:hAnsi="宋体"/>
          <w:sz w:val="24"/>
          <w:szCs w:val="24"/>
          <w:lang w:val="en-US" w:eastAsia="zh-CN"/>
        </w:rPr>
        <w:t>3</w:t>
      </w:r>
      <w:r>
        <w:rPr>
          <w:rFonts w:hint="eastAsia" w:ascii="宋体" w:hAnsi="宋体"/>
          <w:sz w:val="24"/>
          <w:szCs w:val="24"/>
        </w:rPr>
        <w:t>0分，  资质、装备及工艺技术水平、业绩状况：</w:t>
      </w:r>
      <w:r>
        <w:rPr>
          <w:rFonts w:hint="eastAsia" w:ascii="宋体" w:hAnsi="宋体"/>
          <w:sz w:val="24"/>
          <w:szCs w:val="24"/>
          <w:lang w:val="en-US" w:eastAsia="zh-CN"/>
        </w:rPr>
        <w:t>5</w:t>
      </w:r>
      <w:r>
        <w:rPr>
          <w:rFonts w:hint="eastAsia" w:ascii="宋体" w:hAnsi="宋体"/>
          <w:sz w:val="24"/>
          <w:szCs w:val="24"/>
        </w:rPr>
        <w:t>分，  服务、工期及资金状况：1</w:t>
      </w:r>
      <w:r>
        <w:rPr>
          <w:rFonts w:hint="eastAsia" w:ascii="宋体" w:hAnsi="宋体"/>
          <w:sz w:val="24"/>
          <w:szCs w:val="24"/>
          <w:lang w:val="en-US" w:eastAsia="zh-CN"/>
        </w:rPr>
        <w:t>5</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投光灯及高杆灯</w:t>
      </w:r>
      <w:r>
        <w:rPr>
          <w:rFonts w:hint="eastAsia" w:eastAsia="宋体"/>
          <w:vertAlign w:val="baseline"/>
          <w:lang w:val="en-US" w:eastAsia="zh-CN"/>
        </w:rPr>
        <w:t>，明细见下表：</w:t>
      </w:r>
    </w:p>
    <w:tbl>
      <w:tblPr>
        <w:tblStyle w:val="11"/>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default" w:eastAsia="宋体"/>
                <w:vertAlign w:val="baseline"/>
                <w:lang w:val="en-US" w:eastAsia="zh-CN"/>
              </w:rPr>
            </w:pPr>
            <w:r>
              <w:rPr>
                <w:rFonts w:hint="default" w:eastAsia="宋体"/>
                <w:vertAlign w:val="baseline"/>
                <w:lang w:val="en-US" w:eastAsia="zh-CN"/>
              </w:rPr>
              <w:t>高杆灯</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6</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ascii="仿宋_GB2312" w:hAnsi="仿宋_GB2312" w:eastAsia="仿宋_GB2312" w:cs="仿宋_GB2312"/>
              </w:rPr>
            </w:pPr>
            <w:r>
              <w:rPr>
                <w:rFonts w:hint="default" w:eastAsia="宋体"/>
                <w:vertAlign w:val="baseline"/>
                <w:lang w:val="en-US" w:eastAsia="zh-CN"/>
              </w:rPr>
              <w:t>投光灯</w:t>
            </w:r>
          </w:p>
        </w:tc>
        <w:tc>
          <w:tcPr>
            <w:tcW w:w="2069" w:type="dxa"/>
            <w:noWrap w:val="0"/>
            <w:vAlign w:val="top"/>
          </w:tcPr>
          <w:p>
            <w:pPr>
              <w:tabs>
                <w:tab w:val="left" w:pos="2680"/>
              </w:tabs>
              <w:jc w:val="center"/>
              <w:rPr>
                <w:rFonts w:hint="default"/>
                <w:vertAlign w:val="baseline"/>
                <w:lang w:val="en-US" w:eastAsia="zh-CN"/>
              </w:rPr>
            </w:pPr>
            <w:r>
              <w:rPr>
                <w:rFonts w:hint="eastAsia"/>
                <w:vertAlign w:val="baseline"/>
                <w:lang w:val="en-US" w:eastAsia="zh-CN"/>
              </w:rPr>
              <w:t>8</w:t>
            </w:r>
          </w:p>
        </w:tc>
        <w:tc>
          <w:tcPr>
            <w:tcW w:w="2287" w:type="dxa"/>
            <w:noWrap w:val="0"/>
            <w:vAlign w:val="top"/>
          </w:tcPr>
          <w:p>
            <w:pPr>
              <w:tabs>
                <w:tab w:val="left" w:pos="2680"/>
              </w:tabs>
              <w:jc w:val="center"/>
              <w:rPr>
                <w:rFonts w:hint="eastAsia"/>
                <w:vertAlign w:val="baseline"/>
                <w:lang w:val="en-US" w:eastAsia="zh-CN"/>
              </w:rPr>
            </w:pPr>
            <w:r>
              <w:rPr>
                <w:rFonts w:hint="eastAsia"/>
                <w:vertAlign w:val="baseline"/>
                <w:lang w:val="en-US" w:eastAsia="zh-CN"/>
              </w:rPr>
              <w:t>套</w:t>
            </w:r>
          </w:p>
        </w:tc>
      </w:tr>
    </w:tbl>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tabs>
          <w:tab w:val="left" w:pos="2680"/>
        </w:tabs>
        <w:ind w:left="479" w:leftChars="228" w:firstLine="0" w:firstLineChars="0"/>
        <w:jc w:val="left"/>
        <w:rPr>
          <w:rFonts w:hint="eastAsia" w:ascii="宋体" w:hAnsi="宋体" w:eastAsia="宋体"/>
          <w:sz w:val="24"/>
          <w:szCs w:val="24"/>
          <w:lang w:eastAsia="zh-CN"/>
        </w:rPr>
      </w:pPr>
      <w:r>
        <w:rPr>
          <w:rFonts w:hint="eastAsia"/>
          <w:sz w:val="24"/>
          <w:szCs w:val="24"/>
          <w:lang w:val="en-US" w:eastAsia="zh-CN"/>
        </w:rPr>
        <w:t xml:space="preserve">   </w:t>
      </w:r>
    </w:p>
    <w:p>
      <w:pPr>
        <w:tabs>
          <w:tab w:val="left" w:pos="2680"/>
        </w:tabs>
        <w:ind w:left="479" w:leftChars="228" w:firstLine="0" w:firstLineChars="0"/>
        <w:jc w:val="left"/>
        <w:rPr>
          <w:rFonts w:hint="default"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rPr>
        <w:t xml:space="preserve"> </w:t>
      </w:r>
      <w:r>
        <w:rPr>
          <w:rFonts w:hint="eastAsia" w:ascii="宋体" w:hAnsi="宋体"/>
          <w:sz w:val="24"/>
          <w:szCs w:val="24"/>
          <w:lang w:eastAsia="zh-CN"/>
        </w:rPr>
        <w:t>详细要求见高杆灯及投光灯技术要求。</w:t>
      </w:r>
    </w:p>
    <w:p>
      <w:pPr>
        <w:tabs>
          <w:tab w:val="left" w:pos="2680"/>
        </w:tabs>
        <w:ind w:firstLine="480" w:firstLineChars="200"/>
        <w:jc w:val="left"/>
        <w:rPr>
          <w:rFonts w:hint="default" w:eastAsia="宋体"/>
          <w:sz w:val="24"/>
          <w:szCs w:val="24"/>
          <w:lang w:val="en-US" w:eastAsia="zh-CN"/>
        </w:rPr>
      </w:pPr>
      <w:r>
        <w:rPr>
          <w:rFonts w:hint="eastAsia" w:ascii="宋体" w:hAnsi="宋体"/>
          <w:sz w:val="24"/>
          <w:szCs w:val="24"/>
          <w:lang w:val="en-US" w:eastAsia="zh-CN"/>
        </w:rPr>
        <w:t>3.</w:t>
      </w:r>
      <w:r>
        <w:rPr>
          <w:rFonts w:hint="eastAsia"/>
          <w:sz w:val="24"/>
          <w:szCs w:val="24"/>
        </w:rPr>
        <w:t>各投标单位需了解实际情况，详细交流。</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90</w:t>
      </w:r>
      <w:r>
        <w:rPr>
          <w:rFonts w:hint="eastAsia" w:ascii="宋体" w:hAnsi="宋体"/>
          <w:b/>
          <w:color w:val="FF0000"/>
          <w:sz w:val="24"/>
          <w:szCs w:val="24"/>
        </w:rPr>
        <w:t>万元（大写：</w:t>
      </w:r>
      <w:r>
        <w:rPr>
          <w:rFonts w:hint="eastAsia" w:ascii="宋体" w:hAnsi="宋体"/>
          <w:b/>
          <w:color w:val="FF0000"/>
          <w:sz w:val="24"/>
          <w:szCs w:val="24"/>
          <w:lang w:eastAsia="zh-CN"/>
        </w:rPr>
        <w:t>玖拾万元整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ind w:firstLine="5060" w:firstLineChars="2100"/>
        <w:rPr>
          <w:rFonts w:hint="eastAsia" w:ascii="宋体" w:hAnsi="宋体"/>
          <w:b/>
          <w:color w:val="FF0000"/>
          <w:sz w:val="24"/>
          <w:szCs w:val="24"/>
        </w:rPr>
      </w:pPr>
      <w:r>
        <w:rPr>
          <w:rFonts w:hint="eastAsia"/>
          <w:b/>
          <w:sz w:val="24"/>
          <w:szCs w:val="24"/>
        </w:rPr>
        <w:t>芜湖新兴铸管有限责任公司</w:t>
      </w:r>
    </w:p>
    <w:p>
      <w:pPr>
        <w:ind w:firstLine="6000" w:firstLineChars="2500"/>
        <w:rPr>
          <w:b/>
          <w:sz w:val="24"/>
          <w:szCs w:val="24"/>
        </w:rPr>
      </w:pP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w:t>
      </w:r>
    </w:p>
    <w:p>
      <w:pPr>
        <w:jc w:val="right"/>
        <w:rPr>
          <w:b/>
          <w:sz w:val="24"/>
          <w:szCs w:val="24"/>
        </w:rPr>
      </w:pPr>
    </w:p>
    <w:p>
      <w:pPr>
        <w:pStyle w:val="22"/>
        <w:snapToGrid w:val="0"/>
        <w:spacing w:line="480" w:lineRule="auto"/>
        <w:rPr>
          <w:rFonts w:hint="eastAsia" w:ascii="宋体" w:hAnsi="宋体" w:cs="宋体"/>
          <w:szCs w:val="22"/>
          <w:lang w:eastAsia="zh-CN"/>
        </w:rPr>
      </w:pP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9"/>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投光灯及高杆灯</w:t>
            </w:r>
            <w:bookmarkStart w:id="0" w:name="_GoBack"/>
            <w:bookmarkEnd w:id="0"/>
            <w:r>
              <w:rPr>
                <w:rFonts w:hint="eastAsia" w:ascii="宋体" w:hAnsi="宋体" w:eastAsia="宋体" w:cs="宋体"/>
                <w:b/>
                <w:i w:val="0"/>
                <w:color w:val="000000"/>
                <w:kern w:val="0"/>
                <w:sz w:val="36"/>
                <w:szCs w:val="36"/>
                <w:u w:val="none"/>
                <w:lang w:val="en-US" w:eastAsia="zh-CN" w:bidi="ar"/>
              </w:rPr>
              <w:t>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r>
        <w:rPr>
          <w:b w:val="0"/>
          <w:bCs/>
          <w:sz w:val="28"/>
          <w:szCs w:val="28"/>
        </w:rPr>
        <w:t xml:space="preserve"> </w:t>
      </w: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0FC5"/>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01115F"/>
    <w:rsid w:val="0831406E"/>
    <w:rsid w:val="08A96692"/>
    <w:rsid w:val="0AA80F02"/>
    <w:rsid w:val="0BFF25BD"/>
    <w:rsid w:val="0CBC295F"/>
    <w:rsid w:val="0DF07D84"/>
    <w:rsid w:val="0E497616"/>
    <w:rsid w:val="0E842CB1"/>
    <w:rsid w:val="0F0803D8"/>
    <w:rsid w:val="0F347211"/>
    <w:rsid w:val="10CA64E1"/>
    <w:rsid w:val="110928F7"/>
    <w:rsid w:val="11654D47"/>
    <w:rsid w:val="135C10D5"/>
    <w:rsid w:val="139F3DA1"/>
    <w:rsid w:val="13D07934"/>
    <w:rsid w:val="13D576D7"/>
    <w:rsid w:val="158B548F"/>
    <w:rsid w:val="15F23ED0"/>
    <w:rsid w:val="16541AFE"/>
    <w:rsid w:val="1694444C"/>
    <w:rsid w:val="16BA7CAF"/>
    <w:rsid w:val="17F97F08"/>
    <w:rsid w:val="18ED4DB4"/>
    <w:rsid w:val="19B16948"/>
    <w:rsid w:val="1A3C18D0"/>
    <w:rsid w:val="1A8A6D05"/>
    <w:rsid w:val="1C730BDE"/>
    <w:rsid w:val="1CCB1E53"/>
    <w:rsid w:val="1D2E11E1"/>
    <w:rsid w:val="1D5132E6"/>
    <w:rsid w:val="1E2D4613"/>
    <w:rsid w:val="1E937D02"/>
    <w:rsid w:val="1EA54788"/>
    <w:rsid w:val="1F4242F7"/>
    <w:rsid w:val="1F802445"/>
    <w:rsid w:val="203C28CE"/>
    <w:rsid w:val="21133B37"/>
    <w:rsid w:val="21534F77"/>
    <w:rsid w:val="21A2160C"/>
    <w:rsid w:val="22B96773"/>
    <w:rsid w:val="22E00851"/>
    <w:rsid w:val="23D22DCD"/>
    <w:rsid w:val="2457302A"/>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4214E9"/>
    <w:rsid w:val="379345D1"/>
    <w:rsid w:val="37974BFF"/>
    <w:rsid w:val="37BE23C2"/>
    <w:rsid w:val="387F2F2C"/>
    <w:rsid w:val="38B84B41"/>
    <w:rsid w:val="390D54AD"/>
    <w:rsid w:val="3A3F65BD"/>
    <w:rsid w:val="3A773720"/>
    <w:rsid w:val="3C456A69"/>
    <w:rsid w:val="3C487023"/>
    <w:rsid w:val="3C887586"/>
    <w:rsid w:val="3D5A40AB"/>
    <w:rsid w:val="3DB441B2"/>
    <w:rsid w:val="3E371640"/>
    <w:rsid w:val="3EB93F1F"/>
    <w:rsid w:val="3ED509DB"/>
    <w:rsid w:val="3F0B65A3"/>
    <w:rsid w:val="41394D83"/>
    <w:rsid w:val="41A706B0"/>
    <w:rsid w:val="42292AE8"/>
    <w:rsid w:val="422E1FDF"/>
    <w:rsid w:val="423C71D1"/>
    <w:rsid w:val="426213B7"/>
    <w:rsid w:val="42CE1EFE"/>
    <w:rsid w:val="43C121E7"/>
    <w:rsid w:val="4500284B"/>
    <w:rsid w:val="45407B03"/>
    <w:rsid w:val="455A1E29"/>
    <w:rsid w:val="45C004AA"/>
    <w:rsid w:val="47AD4330"/>
    <w:rsid w:val="47DF42C8"/>
    <w:rsid w:val="49280B38"/>
    <w:rsid w:val="4B635392"/>
    <w:rsid w:val="4BA21255"/>
    <w:rsid w:val="4DC66F68"/>
    <w:rsid w:val="518D2140"/>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6056EF"/>
    <w:rsid w:val="68985C4A"/>
    <w:rsid w:val="695E0A51"/>
    <w:rsid w:val="6AE713EB"/>
    <w:rsid w:val="6C7B13C4"/>
    <w:rsid w:val="6CA73029"/>
    <w:rsid w:val="6ED71557"/>
    <w:rsid w:val="6F4860A5"/>
    <w:rsid w:val="706A3FF6"/>
    <w:rsid w:val="7085030B"/>
    <w:rsid w:val="70D03715"/>
    <w:rsid w:val="70E0155E"/>
    <w:rsid w:val="711219DD"/>
    <w:rsid w:val="71826C8A"/>
    <w:rsid w:val="71F96DCA"/>
    <w:rsid w:val="732D2693"/>
    <w:rsid w:val="7357254E"/>
    <w:rsid w:val="73611393"/>
    <w:rsid w:val="76206BC5"/>
    <w:rsid w:val="778A5616"/>
    <w:rsid w:val="780E1C86"/>
    <w:rsid w:val="78C9225B"/>
    <w:rsid w:val="790532F9"/>
    <w:rsid w:val="797A02ED"/>
    <w:rsid w:val="79B23223"/>
    <w:rsid w:val="79DE1204"/>
    <w:rsid w:val="7A6263B1"/>
    <w:rsid w:val="7ADF17B7"/>
    <w:rsid w:val="7B386B42"/>
    <w:rsid w:val="7B6E351B"/>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6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2021-01-04T08:32:14Z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