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120吨RH炉耐火材料承包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7</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SC202101006RHLNHCLCB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120吨RH炉耐火材料承包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马  工    13170035691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 </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28日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1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rPr>
      </w:pPr>
      <w:r>
        <w:rPr>
          <w:rFonts w:hint="eastAsia" w:ascii="宋体" w:hAnsi="宋体"/>
          <w:b/>
          <w:color w:val="FF0000"/>
          <w:sz w:val="24"/>
          <w:szCs w:val="24"/>
        </w:rPr>
        <w:t>满足炼钢技术协议要求，详见附件资料。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2021年预计产量40万吨，按吨钢报价。</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要求生产企业，提供近两年内、</w:t>
      </w:r>
      <w:r>
        <w:rPr>
          <w:rFonts w:hint="eastAsia" w:ascii="宋体" w:hAnsi="宋体"/>
          <w:b/>
          <w:color w:val="FF0000"/>
          <w:sz w:val="24"/>
          <w:szCs w:val="24"/>
          <w:lang w:val="en-US" w:eastAsia="zh-CN"/>
        </w:rPr>
        <w:t>2</w:t>
      </w:r>
      <w:r>
        <w:rPr>
          <w:rFonts w:hint="eastAsia" w:ascii="宋体" w:hAnsi="宋体"/>
          <w:b/>
          <w:color w:val="FF0000"/>
          <w:sz w:val="24"/>
          <w:szCs w:val="24"/>
        </w:rPr>
        <w:t>份及以上</w:t>
      </w:r>
      <w:r>
        <w:rPr>
          <w:rFonts w:hint="eastAsia" w:ascii="宋体" w:hAnsi="宋体"/>
          <w:b/>
          <w:color w:val="FF0000"/>
          <w:sz w:val="24"/>
          <w:szCs w:val="24"/>
          <w:lang w:val="en-US" w:eastAsia="zh-CN"/>
        </w:rPr>
        <w:t>同级别（或以上）RH</w:t>
      </w:r>
      <w:r>
        <w:rPr>
          <w:rFonts w:hint="eastAsia" w:ascii="宋体" w:hAnsi="宋体"/>
          <w:b/>
          <w:color w:val="FF0000"/>
          <w:sz w:val="24"/>
          <w:szCs w:val="24"/>
        </w:rPr>
        <w:t>承包业绩（附上合同、发票复印件，要求按合同+发票的顺序整理好）</w:t>
      </w:r>
      <w:r>
        <w:rPr>
          <w:rFonts w:hint="eastAsia" w:ascii="宋体" w:hAnsi="宋体"/>
          <w:b/>
          <w:color w:val="FF0000"/>
          <w:sz w:val="24"/>
          <w:szCs w:val="24"/>
          <w:lang w:eastAsia="zh-CN"/>
        </w:rPr>
        <w:t>。</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1</w:t>
      </w:r>
      <w:r>
        <w:rPr>
          <w:rFonts w:hint="eastAsia" w:ascii="宋体" w:hAnsi="宋体"/>
          <w:b/>
          <w:color w:val="FF0000"/>
          <w:sz w:val="24"/>
          <w:szCs w:val="24"/>
          <w:lang w:eastAsia="zh-CN"/>
        </w:rPr>
        <w:t>0万元整</w:t>
      </w:r>
      <w:r>
        <w:rPr>
          <w:rFonts w:hint="eastAsia" w:ascii="宋体" w:hAnsi="宋体"/>
          <w:b/>
          <w:color w:val="FF0000"/>
          <w:sz w:val="24"/>
          <w:szCs w:val="24"/>
          <w:lang w:val="en-US" w:eastAsia="zh-CN"/>
        </w:rPr>
        <w:t>,</w:t>
      </w:r>
      <w:r>
        <w:rPr>
          <w:rFonts w:hint="eastAsia" w:ascii="宋体" w:hAnsi="宋体"/>
          <w:b/>
          <w:color w:val="FF0000"/>
          <w:sz w:val="24"/>
          <w:szCs w:val="24"/>
          <w:lang w:eastAsia="zh-CN"/>
        </w:rPr>
        <w:t>本次招标要求中标后按要求缴纳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r>
        <w:rPr>
          <w:rFonts w:hint="eastAsia" w:ascii="宋体" w:hAnsi="宋体"/>
          <w:b/>
          <w:color w:val="FF0000"/>
          <w:sz w:val="24"/>
          <w:szCs w:val="24"/>
          <w:lang w:val="en-US" w:eastAsia="zh-CN"/>
        </w:rPr>
        <w:t>若中标，在签订商务合同前按要求继续追缴相应履约保证金。</w:t>
      </w:r>
    </w:p>
    <w:p>
      <w:pPr>
        <w:numPr>
          <w:ilvl w:val="0"/>
          <w:numId w:val="0"/>
        </w:numPr>
        <w:spacing w:line="360" w:lineRule="auto"/>
        <w:ind w:leftChars="200"/>
        <w:rPr>
          <w:rFonts w:hint="eastAsia" w:ascii="宋体" w:hAnsi="宋体"/>
          <w:b/>
          <w:color w:val="FF0000"/>
          <w:sz w:val="24"/>
          <w:szCs w:val="24"/>
        </w:rPr>
      </w:pPr>
      <w:r>
        <w:rPr>
          <w:rFonts w:hint="eastAsia" w:ascii="宋体" w:hAnsi="宋体"/>
          <w:b/>
          <w:color w:val="FF0000"/>
          <w:sz w:val="24"/>
          <w:szCs w:val="24"/>
          <w:lang w:val="en-US" w:eastAsia="zh-CN"/>
        </w:rPr>
        <w:t>5、招标合同执行周期为一年；</w:t>
      </w:r>
    </w:p>
    <w:p>
      <w:pPr>
        <w:widowControl w:val="0"/>
        <w:spacing w:line="240" w:lineRule="atLeast"/>
        <w:ind w:firstLine="482" w:firstLineChars="200"/>
        <w:jc w:val="both"/>
        <w:rPr>
          <w:rFonts w:hint="eastAsia" w:ascii="宋体" w:hAnsi="宋体"/>
          <w:b/>
          <w:color w:val="FF0000"/>
          <w:sz w:val="24"/>
          <w:szCs w:val="24"/>
        </w:rPr>
      </w:pPr>
      <w:r>
        <w:rPr>
          <w:rFonts w:hint="eastAsia" w:ascii="宋体" w:hAnsi="宋体"/>
          <w:b/>
          <w:color w:val="FF0000"/>
          <w:sz w:val="24"/>
          <w:szCs w:val="24"/>
          <w:lang w:val="en-US" w:eastAsia="zh-CN"/>
        </w:rPr>
        <w:t>6、</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为：2</w:t>
      </w:r>
      <w:r>
        <w:rPr>
          <w:rFonts w:hint="eastAsia" w:ascii="宋体" w:hAnsi="宋体"/>
          <w:b/>
          <w:color w:val="FF0000"/>
          <w:sz w:val="24"/>
          <w:szCs w:val="24"/>
          <w:lang w:val="en-US" w:eastAsia="zh-CN"/>
        </w:rPr>
        <w:t>6</w:t>
      </w:r>
      <w:r>
        <w:rPr>
          <w:rFonts w:hint="eastAsia" w:ascii="宋体" w:hAnsi="宋体"/>
          <w:b/>
          <w:color w:val="FF0000"/>
          <w:sz w:val="24"/>
          <w:szCs w:val="24"/>
        </w:rPr>
        <w:t>.</w:t>
      </w:r>
      <w:r>
        <w:rPr>
          <w:rFonts w:hint="eastAsia" w:ascii="宋体" w:hAnsi="宋体"/>
          <w:b/>
          <w:color w:val="FF0000"/>
          <w:sz w:val="24"/>
          <w:szCs w:val="24"/>
          <w:lang w:val="en-US" w:eastAsia="zh-CN"/>
        </w:rPr>
        <w:t>47</w:t>
      </w:r>
      <w:r>
        <w:rPr>
          <w:rFonts w:hint="eastAsia" w:ascii="宋体" w:hAnsi="宋体"/>
          <w:b/>
          <w:color w:val="FF0000"/>
          <w:sz w:val="24"/>
          <w:szCs w:val="24"/>
        </w:rPr>
        <w:t>元/吨钢</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大写：贰拾陆元肆角柒分每吨钢</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bookmarkStart w:id="0" w:name="_GoBack"/>
      <w:bookmarkEnd w:id="0"/>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120吨RH炉耐火材料承包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173" w:tblpY="635"/>
        <w:tblOverlap w:val="never"/>
        <w:tblW w:w="58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6"/>
        <w:gridCol w:w="4597"/>
        <w:gridCol w:w="110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45" w:type="pct"/>
            <w:noWrap w:val="0"/>
            <w:vAlign w:val="center"/>
          </w:tcPr>
          <w:p>
            <w:pPr>
              <w:jc w:val="center"/>
              <w:rPr>
                <w:rFonts w:hint="eastAsia"/>
                <w:sz w:val="18"/>
                <w:szCs w:val="18"/>
              </w:rPr>
            </w:pPr>
            <w:r>
              <w:rPr>
                <w:rFonts w:hint="eastAsia"/>
                <w:sz w:val="18"/>
                <w:szCs w:val="18"/>
              </w:rPr>
              <w:t>序号</w:t>
            </w:r>
          </w:p>
        </w:tc>
        <w:tc>
          <w:tcPr>
            <w:tcW w:w="1148"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309" w:type="pct"/>
            <w:noWrap w:val="0"/>
            <w:vAlign w:val="center"/>
          </w:tcPr>
          <w:p>
            <w:pPr>
              <w:jc w:val="center"/>
              <w:rPr>
                <w:rFonts w:hint="eastAsia"/>
                <w:sz w:val="18"/>
                <w:szCs w:val="18"/>
              </w:rPr>
            </w:pPr>
            <w:r>
              <w:rPr>
                <w:rFonts w:hint="eastAsia"/>
                <w:sz w:val="18"/>
                <w:szCs w:val="18"/>
              </w:rPr>
              <w:t>含税、含运费报价（元/吨钢）</w:t>
            </w:r>
          </w:p>
        </w:tc>
        <w:tc>
          <w:tcPr>
            <w:tcW w:w="555" w:type="pct"/>
            <w:noWrap w:val="0"/>
            <w:vAlign w:val="center"/>
          </w:tcPr>
          <w:p>
            <w:pPr>
              <w:jc w:val="center"/>
              <w:rPr>
                <w:rFonts w:hint="eastAsia"/>
                <w:sz w:val="18"/>
                <w:szCs w:val="18"/>
              </w:rPr>
            </w:pPr>
            <w:r>
              <w:rPr>
                <w:rFonts w:hint="eastAsia"/>
                <w:sz w:val="18"/>
                <w:szCs w:val="18"/>
              </w:rPr>
              <w:t>税率</w:t>
            </w:r>
          </w:p>
        </w:tc>
        <w:tc>
          <w:tcPr>
            <w:tcW w:w="639"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45" w:type="pct"/>
            <w:vMerge w:val="restart"/>
            <w:noWrap w:val="0"/>
            <w:vAlign w:val="center"/>
          </w:tcPr>
          <w:p>
            <w:pPr>
              <w:jc w:val="center"/>
              <w:rPr>
                <w:sz w:val="24"/>
                <w:szCs w:val="24"/>
              </w:rPr>
            </w:pPr>
            <w:r>
              <w:rPr>
                <w:rFonts w:hint="eastAsia"/>
                <w:sz w:val="24"/>
                <w:szCs w:val="24"/>
              </w:rPr>
              <w:t>1</w:t>
            </w:r>
          </w:p>
        </w:tc>
        <w:tc>
          <w:tcPr>
            <w:tcW w:w="1148"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lang w:val="en-US" w:eastAsia="zh-CN"/>
              </w:rPr>
              <w:t>120吨RH炉耐火材料承包</w:t>
            </w:r>
          </w:p>
        </w:tc>
        <w:tc>
          <w:tcPr>
            <w:tcW w:w="2309"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（元/吨钢）</w:t>
            </w:r>
          </w:p>
        </w:tc>
        <w:tc>
          <w:tcPr>
            <w:tcW w:w="555" w:type="pct"/>
            <w:vMerge w:val="restart"/>
            <w:noWrap w:val="0"/>
            <w:vAlign w:val="top"/>
          </w:tcPr>
          <w:p>
            <w:pPr>
              <w:jc w:val="center"/>
              <w:rPr>
                <w:rFonts w:hint="eastAsia"/>
                <w:sz w:val="28"/>
                <w:szCs w:val="28"/>
              </w:rPr>
            </w:pPr>
          </w:p>
        </w:tc>
        <w:tc>
          <w:tcPr>
            <w:tcW w:w="639" w:type="pct"/>
            <w:vMerge w:val="restart"/>
            <w:noWrap w:val="0"/>
            <w:vAlign w:val="top"/>
          </w:tcPr>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45" w:type="pct"/>
            <w:vMerge w:val="continue"/>
            <w:noWrap w:val="0"/>
            <w:vAlign w:val="center"/>
          </w:tcPr>
          <w:p>
            <w:pPr>
              <w:jc w:val="center"/>
              <w:rPr>
                <w:rFonts w:hint="eastAsia"/>
                <w:sz w:val="24"/>
                <w:szCs w:val="24"/>
              </w:rPr>
            </w:pPr>
          </w:p>
        </w:tc>
        <w:tc>
          <w:tcPr>
            <w:tcW w:w="1148" w:type="pct"/>
            <w:vMerge w:val="continue"/>
            <w:noWrap w:val="0"/>
            <w:vAlign w:val="center"/>
          </w:tcPr>
          <w:p>
            <w:pPr>
              <w:jc w:val="center"/>
              <w:rPr>
                <w:rFonts w:hint="eastAsia"/>
                <w:sz w:val="24"/>
                <w:szCs w:val="24"/>
              </w:rPr>
            </w:pPr>
          </w:p>
        </w:tc>
        <w:tc>
          <w:tcPr>
            <w:tcW w:w="2309" w:type="pct"/>
            <w:noWrap w:val="0"/>
            <w:vAlign w:val="top"/>
          </w:tcPr>
          <w:p>
            <w:pPr>
              <w:jc w:val="left"/>
              <w:rPr>
                <w:rFonts w:hint="eastAsia" w:eastAsia="宋体"/>
                <w:sz w:val="24"/>
                <w:szCs w:val="24"/>
                <w:lang w:val="en-US" w:eastAsia="zh-CN"/>
              </w:rPr>
            </w:pPr>
            <w:r>
              <w:rPr>
                <w:rFonts w:hint="eastAsia"/>
                <w:sz w:val="24"/>
                <w:szCs w:val="24"/>
                <w:lang w:val="en-US" w:eastAsia="zh-CN"/>
              </w:rPr>
              <w:t xml:space="preserve"> </w:t>
            </w:r>
          </w:p>
          <w:p>
            <w:pPr>
              <w:tabs>
                <w:tab w:val="left" w:pos="3061"/>
              </w:tabs>
              <w:jc w:val="left"/>
              <w:rPr>
                <w:rFonts w:hint="eastAsia" w:eastAsia="宋体"/>
                <w:sz w:val="24"/>
                <w:szCs w:val="24"/>
                <w:lang w:eastAsia="zh-CN"/>
              </w:rPr>
            </w:pPr>
            <w:r>
              <w:rPr>
                <w:rFonts w:hint="eastAsia"/>
                <w:sz w:val="24"/>
                <w:szCs w:val="24"/>
              </w:rPr>
              <w:t>大写：</w:t>
            </w:r>
            <w:r>
              <w:rPr>
                <w:rFonts w:hint="eastAsia"/>
                <w:sz w:val="24"/>
                <w:szCs w:val="24"/>
                <w:lang w:val="en-US" w:eastAsia="zh-CN"/>
              </w:rPr>
              <w:t xml:space="preserve">                    </w:t>
            </w:r>
            <w:r>
              <w:rPr>
                <w:rFonts w:hint="eastAsia"/>
                <w:sz w:val="18"/>
                <w:szCs w:val="18"/>
              </w:rPr>
              <w:t>（元/吨钢）</w:t>
            </w:r>
          </w:p>
        </w:tc>
        <w:tc>
          <w:tcPr>
            <w:tcW w:w="555" w:type="pct"/>
            <w:vMerge w:val="continue"/>
            <w:noWrap w:val="0"/>
            <w:vAlign w:val="top"/>
          </w:tcPr>
          <w:p>
            <w:pPr>
              <w:jc w:val="center"/>
              <w:rPr>
                <w:rFonts w:hint="eastAsia"/>
                <w:sz w:val="28"/>
                <w:szCs w:val="28"/>
              </w:rPr>
            </w:pPr>
          </w:p>
        </w:tc>
        <w:tc>
          <w:tcPr>
            <w:tcW w:w="639"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5"/>
            <w:noWrap w:val="0"/>
            <w:vAlign w:val="top"/>
          </w:tcPr>
          <w:p>
            <w:pPr>
              <w:rPr>
                <w:rFonts w:hint="eastAsia"/>
                <w:sz w:val="28"/>
                <w:szCs w:val="28"/>
              </w:rPr>
            </w:pPr>
            <w:r>
              <w:rPr>
                <w:rFonts w:hint="eastAsia"/>
                <w:sz w:val="28"/>
                <w:szCs w:val="28"/>
              </w:rPr>
              <w:t>备注: 以上报价含税、含运费，一票制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000" w:type="pct"/>
            <w:gridSpan w:val="5"/>
            <w:noWrap w:val="0"/>
            <w:vAlign w:val="top"/>
          </w:tcPr>
          <w:p>
            <w:pPr>
              <w:rPr>
                <w:rFonts w:hint="eastAsia"/>
                <w:sz w:val="28"/>
                <w:szCs w:val="28"/>
              </w:rPr>
            </w:pPr>
            <w:r>
              <w:rPr>
                <w:rFonts w:hint="eastAsia"/>
                <w:sz w:val="28"/>
                <w:szCs w:val="28"/>
              </w:rPr>
              <w:t>日期：</w:t>
            </w:r>
          </w:p>
        </w:tc>
      </w:tr>
    </w:tbl>
    <w:p>
      <w:pPr>
        <w:widowControl/>
        <w:shd w:val="clear" w:color="auto" w:fill="FFFFFF"/>
        <w:spacing w:line="600" w:lineRule="atLeast"/>
        <w:jc w:val="left"/>
        <w:rPr>
          <w:rFonts w:hint="eastAsia" w:ascii="宋体" w:hAnsi="宋体" w:cs="宋体"/>
          <w:b/>
          <w:bCs/>
          <w:color w:val="FF0000"/>
          <w:kern w:val="0"/>
          <w:sz w:val="24"/>
          <w:szCs w:val="24"/>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5DE4E53"/>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4881933"/>
    <w:rsid w:val="154D48F1"/>
    <w:rsid w:val="158A4695"/>
    <w:rsid w:val="16541AFE"/>
    <w:rsid w:val="1694444C"/>
    <w:rsid w:val="17131114"/>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24F62A8"/>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DD967AA"/>
    <w:rsid w:val="3E371640"/>
    <w:rsid w:val="3EB93F1F"/>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582775"/>
    <w:rsid w:val="48E1049E"/>
    <w:rsid w:val="49280B38"/>
    <w:rsid w:val="492C5B3D"/>
    <w:rsid w:val="49A4783E"/>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55749FB"/>
    <w:rsid w:val="66EA0C9A"/>
    <w:rsid w:val="66FB3BC1"/>
    <w:rsid w:val="678F7868"/>
    <w:rsid w:val="686F59C5"/>
    <w:rsid w:val="68985C4A"/>
    <w:rsid w:val="68BB275A"/>
    <w:rsid w:val="695E0A51"/>
    <w:rsid w:val="6AE713EB"/>
    <w:rsid w:val="6B015D37"/>
    <w:rsid w:val="6C7B13C4"/>
    <w:rsid w:val="6CA73029"/>
    <w:rsid w:val="6D027CD6"/>
    <w:rsid w:val="6DD71BCE"/>
    <w:rsid w:val="6E3164EF"/>
    <w:rsid w:val="6E550ED4"/>
    <w:rsid w:val="6EA5652C"/>
    <w:rsid w:val="6ED71557"/>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846985"/>
    <w:rsid w:val="778A5616"/>
    <w:rsid w:val="780E1C86"/>
    <w:rsid w:val="784D0939"/>
    <w:rsid w:val="78C639C7"/>
    <w:rsid w:val="78E1515C"/>
    <w:rsid w:val="797A02ED"/>
    <w:rsid w:val="79B23223"/>
    <w:rsid w:val="79DE1204"/>
    <w:rsid w:val="7A447EB1"/>
    <w:rsid w:val="7A6263B1"/>
    <w:rsid w:val="7A757773"/>
    <w:rsid w:val="7ADF17B7"/>
    <w:rsid w:val="7AEB0EA5"/>
    <w:rsid w:val="7B386B42"/>
    <w:rsid w:val="7BBC102F"/>
    <w:rsid w:val="7BD509C2"/>
    <w:rsid w:val="7C070CDC"/>
    <w:rsid w:val="7C9625E2"/>
    <w:rsid w:val="7D0716F9"/>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uiPriority w:val="0"/>
    <w:rPr>
      <w:rFonts w:hint="eastAsia" w:ascii="宋体" w:hAnsi="宋体" w:eastAsia="宋体" w:cs="宋体"/>
      <w:color w:val="FF0000"/>
      <w:sz w:val="24"/>
      <w:szCs w:val="24"/>
      <w:u w:val="none"/>
    </w:rPr>
  </w:style>
  <w:style w:type="character" w:customStyle="1" w:styleId="27">
    <w:name w:val="font41"/>
    <w:basedOn w:val="11"/>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2021-01-07T07:50:50Z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