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炼钢用覆盖剂</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202</w:t>
      </w:r>
      <w:r>
        <w:rPr>
          <w:rFonts w:hint="eastAsia"/>
          <w:color w:val="000000"/>
          <w:sz w:val="24"/>
          <w:szCs w:val="24"/>
          <w:u w:val="single"/>
          <w:lang w:val="en-US" w:eastAsia="zh-CN"/>
        </w:rPr>
        <w:t>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15</w:t>
      </w:r>
      <w:r>
        <w:rPr>
          <w:rFonts w:hint="eastAsia"/>
          <w:color w:val="000000"/>
          <w:sz w:val="24"/>
          <w:szCs w:val="24"/>
        </w:rPr>
        <w:t>日</w:t>
      </w:r>
    </w:p>
    <w:p>
      <w:pPr>
        <w:spacing w:line="240" w:lineRule="atLeast"/>
        <w:rPr>
          <w:rFonts w:hint="default" w:ascii="仿宋_GB2312" w:eastAsia="宋体"/>
          <w:bCs/>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LG</w:t>
      </w:r>
      <w:r>
        <w:rPr>
          <w:rFonts w:hint="eastAsia" w:ascii="宋体" w:hAnsi="宋体"/>
          <w:u w:val="single"/>
        </w:rPr>
        <w:t>SC202</w:t>
      </w:r>
      <w:r>
        <w:rPr>
          <w:rFonts w:hint="eastAsia" w:ascii="宋体" w:hAnsi="宋体"/>
          <w:u w:val="single"/>
          <w:lang w:val="en-US" w:eastAsia="zh-CN"/>
        </w:rPr>
        <w:t>101</w:t>
      </w:r>
      <w:r>
        <w:rPr>
          <w:rFonts w:hint="eastAsia" w:ascii="宋体" w:hAnsi="宋体"/>
          <w:u w:val="single"/>
        </w:rPr>
        <w:t>0</w:t>
      </w:r>
      <w:r>
        <w:rPr>
          <w:rFonts w:hint="eastAsia" w:ascii="宋体" w:hAnsi="宋体"/>
          <w:u w:val="single"/>
          <w:lang w:val="en-US" w:eastAsia="zh-CN"/>
        </w:rPr>
        <w:t>011FGJ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炼钢用覆盖剂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进行招标，有意向合作的公司可与我公司联系并且网上报名（疫情期间谢绝现场报名）。请按要求填写投标报名函，并附上相关资质资料等，公平交易承诺函（加盖公章）扫描后发至石宇邮箱。</w:t>
      </w:r>
    </w:p>
    <w:p>
      <w:pPr>
        <w:pStyle w:val="9"/>
        <w:widowControl/>
        <w:shd w:val="clear" w:color="auto" w:fill="FFFFFF"/>
        <w:spacing w:line="400" w:lineRule="exact"/>
        <w:rPr>
          <w:rFonts w:ascii="宋体" w:hAnsi="宋体"/>
          <w:kern w:val="2"/>
        </w:rPr>
      </w:pPr>
      <w:r>
        <w:rPr>
          <w:rFonts w:hint="eastAsia" w:ascii="宋体" w:hAnsi="宋体"/>
          <w:kern w:val="2"/>
        </w:rPr>
        <w:t xml:space="preserve">联系人及电话： </w:t>
      </w:r>
    </w:p>
    <w:p>
      <w:pPr>
        <w:spacing w:line="400" w:lineRule="exact"/>
        <w:rPr>
          <w:rFonts w:ascii="宋体" w:hAnsi="宋体"/>
          <w:sz w:val="24"/>
          <w:szCs w:val="24"/>
        </w:rPr>
      </w:pPr>
      <w:r>
        <w:rPr>
          <w:rFonts w:hint="eastAsia" w:ascii="宋体" w:hAnsi="宋体"/>
          <w:sz w:val="24"/>
          <w:szCs w:val="24"/>
        </w:rPr>
        <w:t>招标办：       石  宇  15255329626</w:t>
      </w:r>
    </w:p>
    <w:p>
      <w:pPr>
        <w:spacing w:line="400" w:lineRule="exact"/>
        <w:rPr>
          <w:rFonts w:hint="default" w:ascii="宋体" w:hAnsi="宋体" w:eastAsia="宋体"/>
          <w:sz w:val="24"/>
          <w:szCs w:val="24"/>
          <w:lang w:val="en-US" w:eastAsia="zh-CN"/>
        </w:rPr>
      </w:pPr>
      <w:r>
        <w:rPr>
          <w:rFonts w:hint="eastAsia" w:ascii="宋体" w:hAnsi="宋体"/>
          <w:sz w:val="24"/>
          <w:szCs w:val="24"/>
        </w:rPr>
        <w:t xml:space="preserve">炉料部：       </w:t>
      </w:r>
      <w:r>
        <w:rPr>
          <w:rFonts w:hint="eastAsia" w:ascii="宋体" w:hAnsi="宋体"/>
          <w:sz w:val="24"/>
          <w:szCs w:val="24"/>
          <w:lang w:val="en-US" w:eastAsia="zh-CN"/>
        </w:rPr>
        <w:t>柯</w:t>
      </w:r>
      <w:r>
        <w:rPr>
          <w:rFonts w:hint="eastAsia" w:ascii="宋体" w:hAnsi="宋体"/>
          <w:sz w:val="24"/>
          <w:szCs w:val="24"/>
        </w:rPr>
        <w:t xml:space="preserve">  工    </w:t>
      </w:r>
      <w:r>
        <w:rPr>
          <w:rFonts w:hint="eastAsia" w:ascii="宋体" w:hAnsi="宋体"/>
          <w:sz w:val="24"/>
          <w:szCs w:val="24"/>
          <w:lang w:val="en-US" w:eastAsia="zh-CN"/>
        </w:rPr>
        <w:t>13955388390</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01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22</w:t>
      </w:r>
      <w:r>
        <w:rPr>
          <w:rFonts w:ascii="宋体" w:hAnsi="宋体"/>
          <w:bCs/>
          <w:sz w:val="24"/>
          <w:szCs w:val="24"/>
        </w:rPr>
        <w:t>日</w:t>
      </w:r>
      <w:r>
        <w:rPr>
          <w:rFonts w:hint="eastAsia" w:ascii="宋体" w:hAnsi="宋体"/>
          <w:sz w:val="24"/>
          <w:szCs w:val="24"/>
          <w:u w:val="single"/>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rPr>
        <w:t>202</w:t>
      </w:r>
      <w:r>
        <w:rPr>
          <w:rFonts w:hint="eastAsia" w:ascii="宋体" w:hAnsi="宋体"/>
          <w:sz w:val="24"/>
          <w:szCs w:val="24"/>
          <w:u w:val="single"/>
          <w:lang w:val="en-US" w:eastAsia="zh-CN"/>
        </w:rPr>
        <w:t>1</w:t>
      </w:r>
      <w:r>
        <w:rPr>
          <w:rFonts w:ascii="宋体" w:hAnsi="宋体"/>
          <w:bCs/>
          <w:sz w:val="24"/>
          <w:szCs w:val="24"/>
        </w:rPr>
        <w:t>年</w:t>
      </w:r>
      <w:r>
        <w:rPr>
          <w:rFonts w:hint="eastAsia" w:ascii="宋体" w:hAnsi="宋体"/>
          <w:sz w:val="24"/>
          <w:szCs w:val="24"/>
          <w:u w:val="single"/>
        </w:rPr>
        <w:t xml:space="preserve"> 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26</w:t>
      </w:r>
      <w:r>
        <w:rPr>
          <w:rFonts w:hint="eastAsia" w:ascii="宋体" w:hAnsi="宋体"/>
          <w:sz w:val="24"/>
          <w:szCs w:val="24"/>
          <w:u w:val="single"/>
        </w:rPr>
        <w:t>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w:t>
      </w:r>
      <w:r>
        <w:rPr>
          <w:rFonts w:hint="eastAsia"/>
          <w:color w:val="2A2A2A"/>
          <w:sz w:val="24"/>
          <w:szCs w:val="24"/>
          <w:u w:val="single"/>
          <w:shd w:val="clear" w:color="auto" w:fill="FFFFFF"/>
        </w:rPr>
        <w:t>:30</w:t>
      </w:r>
      <w:r>
        <w:rPr>
          <w:rFonts w:hint="eastAsia"/>
          <w:color w:val="2A2A2A"/>
          <w:sz w:val="24"/>
          <w:szCs w:val="24"/>
          <w:shd w:val="clear" w:color="auto" w:fill="FFFFFF"/>
        </w:rPr>
        <w:t xml:space="preserve"> </w:t>
      </w:r>
      <w:r>
        <w:rPr>
          <w:rFonts w:hint="eastAsia" w:ascii="宋体" w:hAnsi="宋体"/>
          <w:bCs/>
          <w:sz w:val="24"/>
          <w:szCs w:val="24"/>
        </w:rPr>
        <w:t>，在芜湖新兴铸管有限责任公司三山工业园区招标办会议室 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rPr>
        <w:t>5698562</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石 宇           </w:t>
      </w:r>
    </w:p>
    <w:p>
      <w:pPr>
        <w:snapToGrid w:val="0"/>
        <w:spacing w:line="300" w:lineRule="auto"/>
        <w:ind w:firstLine="1680" w:firstLineChars="700"/>
        <w:rPr>
          <w:rFonts w:ascii="宋体" w:hAnsi="宋体"/>
          <w:sz w:val="24"/>
          <w:szCs w:val="24"/>
        </w:rPr>
      </w:pPr>
      <w:r>
        <w:rPr>
          <w:rFonts w:hint="eastAsia" w:ascii="宋体" w:hAnsi="宋体"/>
          <w:sz w:val="24"/>
          <w:szCs w:val="24"/>
        </w:rPr>
        <w:t>邮    箱：15255329626@163.com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bookmarkStart w:id="0" w:name="_GoBack"/>
      <w:bookmarkEnd w:id="0"/>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w:t>
      </w:r>
      <w:r>
        <w:rPr>
          <w:rFonts w:hint="eastAsia" w:ascii="宋体" w:hAnsi="宋体"/>
          <w:sz w:val="24"/>
          <w:szCs w:val="24"/>
        </w:rPr>
        <w:t>202</w:t>
      </w:r>
      <w:r>
        <w:rPr>
          <w:rFonts w:hint="eastAsia" w:ascii="宋体" w:hAnsi="宋体"/>
          <w:sz w:val="24"/>
          <w:szCs w:val="24"/>
          <w:lang w:val="en-US" w:eastAsia="zh-CN"/>
        </w:rPr>
        <w:t>1</w:t>
      </w:r>
      <w:r>
        <w:rPr>
          <w:rFonts w:hint="eastAsia" w:ascii="宋体" w:hAnsi="宋体"/>
          <w:bCs/>
          <w:color w:val="7030A0"/>
          <w:sz w:val="24"/>
          <w:szCs w:val="24"/>
        </w:rPr>
        <w:t>年</w:t>
      </w:r>
      <w:r>
        <w:rPr>
          <w:rFonts w:hint="eastAsia" w:ascii="宋体" w:hAnsi="宋体"/>
          <w:sz w:val="24"/>
          <w:szCs w:val="24"/>
        </w:rPr>
        <w:t xml:space="preserve"> 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22</w:t>
      </w:r>
      <w:r>
        <w:rPr>
          <w:rFonts w:hint="eastAsia" w:ascii="宋体" w:hAnsi="宋体"/>
          <w:bCs/>
          <w:color w:val="7030A0"/>
          <w:sz w:val="24"/>
          <w:szCs w:val="24"/>
        </w:rPr>
        <w:t>日</w:t>
      </w:r>
      <w:r>
        <w:rPr>
          <w:rFonts w:hint="eastAsia" w:ascii="宋体" w:hAnsi="宋体"/>
          <w:sz w:val="24"/>
          <w:szCs w:val="24"/>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1、付款方式：发票入账后承兑结算。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color w:val="FF0000"/>
          <w:sz w:val="28"/>
          <w:szCs w:val="28"/>
        </w:rPr>
      </w:pPr>
      <w:r>
        <w:rPr>
          <w:rFonts w:hint="eastAsia"/>
          <w:b/>
          <w:sz w:val="24"/>
          <w:szCs w:val="24"/>
        </w:rPr>
        <w:t>评分标准：</w:t>
      </w:r>
      <w:r>
        <w:rPr>
          <w:rFonts w:hint="eastAsia" w:ascii="宋体" w:hAnsi="宋体"/>
          <w:sz w:val="24"/>
          <w:szCs w:val="24"/>
        </w:rPr>
        <w:t>由评标委员会按B类物资进行评分，按分数从高到低顺序进行推荐中标候选人。其中价格：40分,质量：40分,资质、装备及工艺技术水平、业绩状况：10分,服务、工期及资金状况：10分。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满足附件技术要求及业主单位生产使用要求。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该项目分三个标段：1.低碳覆盖剂（</w:t>
      </w:r>
      <w:r>
        <w:rPr>
          <w:rFonts w:hint="eastAsia" w:ascii="宋体" w:hAnsi="宋体"/>
          <w:b/>
          <w:color w:val="FF0000"/>
          <w:sz w:val="24"/>
          <w:szCs w:val="24"/>
          <w:lang w:val="en-US" w:eastAsia="zh-CN"/>
        </w:rPr>
        <w:t>6个月</w:t>
      </w:r>
      <w:r>
        <w:rPr>
          <w:rFonts w:hint="eastAsia" w:ascii="宋体" w:hAnsi="宋体"/>
          <w:b/>
          <w:color w:val="FF0000"/>
          <w:sz w:val="24"/>
          <w:szCs w:val="24"/>
        </w:rPr>
        <w:t>计划量120吨）；2、 FGJ-4覆盖剂（</w:t>
      </w:r>
      <w:r>
        <w:rPr>
          <w:rFonts w:hint="eastAsia" w:ascii="宋体" w:hAnsi="宋体"/>
          <w:b/>
          <w:color w:val="FF0000"/>
          <w:sz w:val="24"/>
          <w:szCs w:val="24"/>
          <w:lang w:val="en-US" w:eastAsia="zh-CN"/>
        </w:rPr>
        <w:t>6个月</w:t>
      </w:r>
      <w:r>
        <w:rPr>
          <w:rFonts w:hint="eastAsia" w:ascii="宋体" w:hAnsi="宋体"/>
          <w:b/>
          <w:color w:val="FF0000"/>
          <w:sz w:val="24"/>
          <w:szCs w:val="24"/>
        </w:rPr>
        <w:t>计划量220吨）</w:t>
      </w:r>
      <w:r>
        <w:rPr>
          <w:rFonts w:hint="eastAsia" w:ascii="宋体" w:hAnsi="宋体"/>
          <w:b/>
          <w:color w:val="FF0000"/>
          <w:sz w:val="24"/>
          <w:szCs w:val="24"/>
          <w:lang w:eastAsia="zh-CN"/>
        </w:rPr>
        <w:t>；</w:t>
      </w:r>
      <w:r>
        <w:rPr>
          <w:rFonts w:hint="eastAsia" w:ascii="宋体" w:hAnsi="宋体"/>
          <w:b/>
          <w:color w:val="FF0000"/>
          <w:sz w:val="24"/>
          <w:szCs w:val="24"/>
        </w:rPr>
        <w:t>3、 FGJ-10覆盖剂（</w:t>
      </w:r>
      <w:r>
        <w:rPr>
          <w:rFonts w:hint="eastAsia" w:ascii="宋体" w:hAnsi="宋体"/>
          <w:b/>
          <w:color w:val="FF0000"/>
          <w:sz w:val="24"/>
          <w:szCs w:val="24"/>
          <w:lang w:val="en-US" w:eastAsia="zh-CN"/>
        </w:rPr>
        <w:t>6个月</w:t>
      </w:r>
      <w:r>
        <w:rPr>
          <w:rFonts w:hint="eastAsia" w:ascii="宋体" w:hAnsi="宋体"/>
          <w:b/>
          <w:color w:val="FF0000"/>
          <w:sz w:val="24"/>
          <w:szCs w:val="24"/>
        </w:rPr>
        <w:t>计划量60吨）。</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提供近两年一份</w:t>
      </w:r>
      <w:r>
        <w:rPr>
          <w:rFonts w:hint="eastAsia" w:ascii="宋体" w:hAnsi="宋体"/>
          <w:b/>
          <w:color w:val="FF0000"/>
          <w:sz w:val="24"/>
          <w:szCs w:val="24"/>
          <w:lang w:val="en-US" w:eastAsia="zh-CN"/>
        </w:rPr>
        <w:t>及</w:t>
      </w:r>
      <w:r>
        <w:rPr>
          <w:rFonts w:hint="eastAsia" w:ascii="宋体" w:hAnsi="宋体"/>
          <w:b/>
          <w:color w:val="FF0000"/>
          <w:sz w:val="24"/>
          <w:szCs w:val="24"/>
        </w:rPr>
        <w:t>以上钢企</w:t>
      </w:r>
      <w:r>
        <w:rPr>
          <w:rFonts w:hint="eastAsia" w:ascii="宋体" w:hAnsi="宋体"/>
          <w:b/>
          <w:color w:val="FF0000"/>
          <w:sz w:val="24"/>
          <w:szCs w:val="24"/>
          <w:lang w:val="en-US" w:eastAsia="zh-CN"/>
        </w:rPr>
        <w:t>覆盖剂</w:t>
      </w:r>
      <w:r>
        <w:rPr>
          <w:rFonts w:hint="eastAsia" w:ascii="宋体" w:hAnsi="宋体"/>
          <w:b/>
          <w:color w:val="FF0000"/>
          <w:sz w:val="24"/>
          <w:szCs w:val="24"/>
        </w:rPr>
        <w:t>供货业绩。</w:t>
      </w:r>
    </w:p>
    <w:p>
      <w:pPr>
        <w:spacing w:line="360" w:lineRule="auto"/>
        <w:ind w:firstLine="482" w:firstLineChars="200"/>
        <w:rPr>
          <w:rFonts w:hint="default" w:ascii="宋体" w:hAnsi="宋体" w:eastAsia="宋体"/>
          <w:b/>
          <w:color w:val="FF0000"/>
          <w:sz w:val="24"/>
          <w:szCs w:val="24"/>
          <w:lang w:val="en-US" w:eastAsia="zh-CN"/>
        </w:rPr>
      </w:pPr>
      <w:r>
        <w:rPr>
          <w:rFonts w:hint="eastAsia" w:ascii="宋体" w:hAnsi="宋体"/>
          <w:b/>
          <w:color w:val="FF0000"/>
          <w:sz w:val="24"/>
          <w:szCs w:val="24"/>
          <w:lang w:val="en-US" w:eastAsia="zh-CN"/>
        </w:rPr>
        <w:t>4.</w:t>
      </w:r>
      <w:r>
        <w:rPr>
          <w:rFonts w:hint="eastAsia" w:ascii="宋体" w:hAnsi="宋体"/>
          <w:b/>
          <w:color w:val="FF0000"/>
          <w:sz w:val="24"/>
          <w:szCs w:val="24"/>
        </w:rPr>
        <w:t>本次招标</w:t>
      </w:r>
      <w:r>
        <w:rPr>
          <w:rFonts w:hint="eastAsia" w:ascii="宋体" w:hAnsi="宋体"/>
          <w:b/>
          <w:color w:val="FF0000"/>
          <w:sz w:val="24"/>
          <w:szCs w:val="24"/>
          <w:lang w:val="en-US" w:eastAsia="zh-CN"/>
        </w:rPr>
        <w:t>合同执行期为6个月。</w:t>
      </w:r>
    </w:p>
    <w:p>
      <w:pPr>
        <w:ind w:firstLine="482" w:firstLineChars="200"/>
        <w:jc w:val="left"/>
        <w:rPr>
          <w:rFonts w:hint="eastAsia"/>
          <w:b/>
          <w:color w:val="FF0000"/>
          <w:sz w:val="24"/>
          <w:szCs w:val="24"/>
        </w:rPr>
      </w:pPr>
      <w:r>
        <w:rPr>
          <w:rFonts w:hint="eastAsia" w:ascii="宋体" w:hAnsi="宋体"/>
          <w:b/>
          <w:color w:val="FF0000"/>
          <w:sz w:val="24"/>
          <w:szCs w:val="24"/>
          <w:lang w:val="en-US" w:eastAsia="zh-CN"/>
        </w:rPr>
        <w:t>5.</w:t>
      </w:r>
      <w:r>
        <w:rPr>
          <w:rFonts w:hint="eastAsia" w:ascii="宋体" w:hAnsi="宋体"/>
          <w:b/>
          <w:color w:val="FF0000"/>
          <w:sz w:val="24"/>
          <w:szCs w:val="24"/>
        </w:rPr>
        <w:t>本次招标项目</w:t>
      </w:r>
      <w:r>
        <w:rPr>
          <w:rFonts w:hint="eastAsia"/>
          <w:b/>
          <w:color w:val="FF0000"/>
          <w:sz w:val="24"/>
          <w:szCs w:val="24"/>
        </w:rPr>
        <w:t>最高投标限价为：</w:t>
      </w:r>
    </w:p>
    <w:p>
      <w:pPr>
        <w:ind w:firstLine="482" w:firstLineChars="200"/>
        <w:jc w:val="left"/>
        <w:rPr>
          <w:rFonts w:hint="eastAsia" w:ascii="宋体" w:hAnsi="宋体"/>
          <w:b/>
          <w:color w:val="FF0000"/>
          <w:sz w:val="24"/>
          <w:szCs w:val="24"/>
          <w:lang w:val="en-US" w:eastAsia="zh-CN"/>
        </w:rPr>
      </w:pPr>
      <w:r>
        <w:rPr>
          <w:rFonts w:hint="eastAsia"/>
          <w:b/>
          <w:color w:val="FF0000"/>
          <w:sz w:val="24"/>
          <w:szCs w:val="24"/>
          <w:lang w:val="en-US" w:eastAsia="zh-CN"/>
        </w:rPr>
        <w:t xml:space="preserve">   1、</w:t>
      </w:r>
      <w:r>
        <w:rPr>
          <w:rFonts w:hint="eastAsia" w:ascii="宋体" w:hAnsi="宋体"/>
          <w:b/>
          <w:color w:val="FF0000"/>
          <w:sz w:val="24"/>
          <w:szCs w:val="24"/>
        </w:rPr>
        <w:t>低碳覆盖剂</w:t>
      </w:r>
      <w:r>
        <w:rPr>
          <w:rFonts w:hint="eastAsia" w:ascii="宋体" w:hAnsi="宋体"/>
          <w:b/>
          <w:color w:val="FF0000"/>
          <w:sz w:val="24"/>
          <w:szCs w:val="24"/>
          <w:lang w:val="en-US" w:eastAsia="zh-CN"/>
        </w:rPr>
        <w:t>1800元/吨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大写：壹仟捌佰元每吨）；</w:t>
      </w:r>
    </w:p>
    <w:p>
      <w:pPr>
        <w:ind w:firstLine="482" w:firstLineChars="200"/>
        <w:jc w:val="left"/>
        <w:rPr>
          <w:rFonts w:hint="eastAsia" w:ascii="宋体" w:hAnsi="宋体"/>
          <w:b/>
          <w:color w:val="FF0000"/>
          <w:sz w:val="24"/>
          <w:szCs w:val="24"/>
          <w:lang w:eastAsia="zh-CN"/>
        </w:rPr>
      </w:pPr>
      <w:r>
        <w:rPr>
          <w:rFonts w:hint="eastAsia" w:ascii="宋体" w:hAnsi="宋体"/>
          <w:b/>
          <w:color w:val="FF0000"/>
          <w:sz w:val="24"/>
          <w:szCs w:val="24"/>
          <w:lang w:val="en-US" w:eastAsia="zh-CN"/>
        </w:rPr>
        <w:t xml:space="preserve">   2、</w:t>
      </w:r>
      <w:r>
        <w:rPr>
          <w:rFonts w:hint="eastAsia" w:ascii="宋体" w:hAnsi="宋体"/>
          <w:b/>
          <w:color w:val="FF0000"/>
          <w:sz w:val="24"/>
          <w:szCs w:val="24"/>
        </w:rPr>
        <w:t>FGJ-4覆盖剂</w:t>
      </w:r>
      <w:r>
        <w:rPr>
          <w:rFonts w:hint="eastAsia" w:ascii="宋体" w:hAnsi="宋体"/>
          <w:b/>
          <w:color w:val="FF0000"/>
          <w:sz w:val="24"/>
          <w:szCs w:val="24"/>
          <w:lang w:val="en-US" w:eastAsia="zh-CN"/>
        </w:rPr>
        <w:t>3000元/吨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大写：叁仟元每吨</w:t>
      </w:r>
      <w:r>
        <w:rPr>
          <w:rFonts w:hint="eastAsia" w:ascii="宋体" w:hAnsi="宋体"/>
          <w:b/>
          <w:color w:val="FF0000"/>
          <w:sz w:val="24"/>
          <w:szCs w:val="24"/>
          <w:lang w:eastAsia="zh-CN"/>
        </w:rPr>
        <w:t>）；</w:t>
      </w:r>
    </w:p>
    <w:p>
      <w:pPr>
        <w:ind w:firstLine="482" w:firstLineChars="200"/>
        <w:jc w:val="left"/>
        <w:rPr>
          <w:rFonts w:hint="default" w:ascii="宋体" w:hAnsi="宋体" w:eastAsia="宋体"/>
          <w:b/>
          <w:color w:val="FF0000"/>
          <w:sz w:val="24"/>
          <w:szCs w:val="24"/>
          <w:lang w:val="en-US" w:eastAsia="zh-CN"/>
        </w:rPr>
      </w:pPr>
      <w:r>
        <w:rPr>
          <w:rFonts w:hint="eastAsia" w:ascii="宋体" w:hAnsi="宋体"/>
          <w:b/>
          <w:color w:val="FF0000"/>
          <w:sz w:val="24"/>
          <w:szCs w:val="24"/>
          <w:lang w:val="en-US" w:eastAsia="zh-CN"/>
        </w:rPr>
        <w:t xml:space="preserve">   3、</w:t>
      </w:r>
      <w:r>
        <w:rPr>
          <w:rFonts w:hint="eastAsia" w:ascii="宋体" w:hAnsi="宋体"/>
          <w:b/>
          <w:color w:val="FF0000"/>
          <w:sz w:val="24"/>
          <w:szCs w:val="24"/>
        </w:rPr>
        <w:t>FGJ-10覆盖剂</w:t>
      </w:r>
      <w:r>
        <w:rPr>
          <w:rFonts w:hint="eastAsia" w:ascii="宋体" w:hAnsi="宋体"/>
          <w:b/>
          <w:color w:val="FF0000"/>
          <w:sz w:val="24"/>
          <w:szCs w:val="24"/>
          <w:lang w:val="en-US" w:eastAsia="zh-CN"/>
        </w:rPr>
        <w:t>2000元/吨（大写：贰仟元每吨</w:t>
      </w:r>
      <w:r>
        <w:rPr>
          <w:rFonts w:hint="eastAsia" w:ascii="宋体" w:hAnsi="宋体"/>
          <w:b/>
          <w:color w:val="FF0000"/>
          <w:sz w:val="24"/>
          <w:szCs w:val="24"/>
          <w:lang w:eastAsia="zh-CN"/>
        </w:rPr>
        <w:t>）；</w:t>
      </w:r>
    </w:p>
    <w:p>
      <w:pPr>
        <w:ind w:firstLine="482" w:firstLineChars="200"/>
        <w:jc w:val="left"/>
        <w:rPr>
          <w:rFonts w:ascii="宋体" w:hAnsi="宋体"/>
          <w:b/>
          <w:color w:val="FF0000"/>
          <w:sz w:val="24"/>
          <w:szCs w:val="24"/>
        </w:rPr>
      </w:pPr>
      <w:r>
        <w:rPr>
          <w:rFonts w:hint="eastAsia"/>
          <w:b/>
          <w:color w:val="FF0000"/>
          <w:sz w:val="24"/>
          <w:szCs w:val="24"/>
        </w:rPr>
        <w:t>报价高于此最高投标限价的作废标处理。</w:t>
      </w:r>
    </w:p>
    <w:p>
      <w:pPr>
        <w:spacing w:line="360" w:lineRule="auto"/>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w:t>
      </w:r>
      <w:r>
        <w:rPr>
          <w:rFonts w:hint="eastAsia" w:ascii="宋体" w:hAnsi="宋体"/>
          <w:sz w:val="24"/>
          <w:szCs w:val="24"/>
          <w:lang w:val="en-US" w:eastAsia="zh-CN"/>
        </w:rPr>
        <w:t>1</w:t>
      </w:r>
      <w:r>
        <w:rPr>
          <w:rFonts w:ascii="宋体" w:hAnsi="宋体"/>
          <w:sz w:val="24"/>
          <w:szCs w:val="24"/>
        </w:rPr>
        <w:t>年</w:t>
      </w:r>
      <w:r>
        <w:rPr>
          <w:rFonts w:hint="eastAsia" w:ascii="宋体" w:hAnsi="宋体"/>
          <w:sz w:val="24"/>
          <w:szCs w:val="24"/>
        </w:rPr>
        <w:t>1</w:t>
      </w:r>
      <w:r>
        <w:rPr>
          <w:rFonts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p>
    <w:p>
      <w:pPr>
        <w:tabs>
          <w:tab w:val="left" w:pos="420"/>
          <w:tab w:val="left" w:pos="630"/>
        </w:tabs>
        <w:spacing w:line="300" w:lineRule="auto"/>
        <w:ind w:firstLine="120" w:firstLineChars="50"/>
        <w:jc w:val="center"/>
        <w:rPr>
          <w:rFonts w:hint="eastAsia" w:ascii="宋体" w:hAnsi="宋体"/>
          <w:sz w:val="24"/>
          <w:szCs w:val="24"/>
        </w:rPr>
      </w:pPr>
    </w:p>
    <w:p>
      <w:pPr>
        <w:tabs>
          <w:tab w:val="left" w:pos="420"/>
          <w:tab w:val="left" w:pos="630"/>
        </w:tabs>
        <w:spacing w:line="300" w:lineRule="auto"/>
        <w:rPr>
          <w:rFonts w:ascii="宋体" w:hAnsi="宋体"/>
          <w:sz w:val="24"/>
          <w:szCs w:val="24"/>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炼钢用覆盖剂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8" o:spt="1" style="position:absolute;left:0pt;margin-left:209.15pt;margin-top:2.25pt;height:84.7pt;width:147.5pt;z-index:251658240;mso-width-relative:page;mso-height-relative:page;"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path/>
            <v:fill type="gradient" on="t" angle="90" focus="100%" focussize="0f,0f">
              <o:fill type="gradientUnscaled" v:ext="backwardCompatible"/>
            </v:fill>
            <v:stroke weight="1.25pt" color="#739CC3"/>
            <v:imagedata o:title=""/>
            <o:lock v:ext="edit"/>
            <v:textbox>
              <w:txbxContent>
                <w:p/>
              </w:txbxContent>
            </v:textbox>
          </v:rect>
        </w:pict>
      </w:r>
      <w:r>
        <w:rPr>
          <w:rFonts w:hint="eastAsia"/>
        </w:rPr>
        <w:pict>
          <v:rect id="矩形 7" o:spid="_x0000_s1027" o:spt="1" style="position:absolute;left:0pt;margin-left:39.45pt;margin-top:1.6pt;height:84.7pt;width:147.5pt;z-index:251658240;mso-width-relative:page;mso-height-relative:page;"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path/>
            <v:fill type="gradient" on="t" angle="90" focus="10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sz w:val="44"/>
          <w:szCs w:val="44"/>
        </w:rPr>
      </w:pPr>
      <w:r>
        <w:rPr>
          <w:rFonts w:hint="eastAsia"/>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440"/>
        <w:gridCol w:w="1211"/>
        <w:gridCol w:w="4107"/>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9" w:type="pct"/>
            <w:vAlign w:val="center"/>
          </w:tcPr>
          <w:p>
            <w:pPr>
              <w:jc w:val="center"/>
              <w:rPr>
                <w:rFonts w:hint="eastAsia" w:eastAsia="宋体"/>
                <w:sz w:val="18"/>
                <w:szCs w:val="18"/>
                <w:lang w:eastAsia="zh-CN"/>
              </w:rPr>
            </w:pPr>
            <w:r>
              <w:rPr>
                <w:rFonts w:hint="eastAsia"/>
                <w:sz w:val="18"/>
                <w:szCs w:val="18"/>
                <w:lang w:val="en-US" w:eastAsia="zh-CN"/>
              </w:rPr>
              <w:t>标段</w:t>
            </w:r>
          </w:p>
        </w:tc>
        <w:tc>
          <w:tcPr>
            <w:tcW w:w="781" w:type="pct"/>
            <w:vAlign w:val="center"/>
          </w:tcPr>
          <w:p>
            <w:pPr>
              <w:jc w:val="center"/>
              <w:rPr>
                <w:sz w:val="18"/>
                <w:szCs w:val="18"/>
              </w:rPr>
            </w:pPr>
            <w:r>
              <w:rPr>
                <w:rFonts w:hint="eastAsia"/>
                <w:sz w:val="18"/>
                <w:szCs w:val="18"/>
              </w:rPr>
              <w:t>物资名称</w:t>
            </w:r>
          </w:p>
        </w:tc>
        <w:tc>
          <w:tcPr>
            <w:tcW w:w="657" w:type="pct"/>
            <w:vAlign w:val="center"/>
          </w:tcPr>
          <w:p>
            <w:pPr>
              <w:jc w:val="center"/>
              <w:rPr>
                <w:rFonts w:hint="eastAsia" w:eastAsia="宋体"/>
                <w:sz w:val="18"/>
                <w:szCs w:val="18"/>
                <w:lang w:eastAsia="zh-CN"/>
              </w:rPr>
            </w:pPr>
            <w:r>
              <w:rPr>
                <w:rFonts w:hint="eastAsia"/>
                <w:sz w:val="18"/>
                <w:szCs w:val="18"/>
                <w:lang w:val="en-US" w:eastAsia="zh-CN"/>
              </w:rPr>
              <w:t>六</w:t>
            </w:r>
            <w:r>
              <w:rPr>
                <w:rFonts w:hint="eastAsia"/>
                <w:sz w:val="18"/>
                <w:szCs w:val="18"/>
              </w:rPr>
              <w:t>个月理论要求数量</w:t>
            </w:r>
            <w:r>
              <w:rPr>
                <w:rFonts w:hint="eastAsia"/>
                <w:sz w:val="18"/>
                <w:szCs w:val="18"/>
                <w:lang w:eastAsia="zh-CN"/>
              </w:rPr>
              <w:t>（</w:t>
            </w:r>
            <w:r>
              <w:rPr>
                <w:rFonts w:hint="eastAsia"/>
                <w:sz w:val="18"/>
                <w:szCs w:val="18"/>
                <w:lang w:val="en-US" w:eastAsia="zh-CN"/>
              </w:rPr>
              <w:t>吨</w:t>
            </w:r>
            <w:r>
              <w:rPr>
                <w:rFonts w:hint="eastAsia"/>
                <w:sz w:val="18"/>
                <w:szCs w:val="18"/>
                <w:lang w:eastAsia="zh-CN"/>
              </w:rPr>
              <w:t>）</w:t>
            </w:r>
          </w:p>
        </w:tc>
        <w:tc>
          <w:tcPr>
            <w:tcW w:w="2228" w:type="pct"/>
            <w:vAlign w:val="center"/>
          </w:tcPr>
          <w:p>
            <w:pPr>
              <w:jc w:val="center"/>
              <w:rPr>
                <w:sz w:val="18"/>
                <w:szCs w:val="18"/>
              </w:rPr>
            </w:pPr>
            <w:r>
              <w:rPr>
                <w:rFonts w:hint="eastAsia"/>
                <w:sz w:val="18"/>
                <w:szCs w:val="18"/>
              </w:rPr>
              <w:t>含税、含运费报价（元/吨）</w:t>
            </w:r>
          </w:p>
        </w:tc>
        <w:tc>
          <w:tcPr>
            <w:tcW w:w="953"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79" w:type="pct"/>
            <w:vMerge w:val="restart"/>
            <w:vAlign w:val="center"/>
          </w:tcPr>
          <w:p>
            <w:pPr>
              <w:jc w:val="center"/>
              <w:rPr>
                <w:sz w:val="24"/>
                <w:szCs w:val="24"/>
              </w:rPr>
            </w:pPr>
            <w:r>
              <w:rPr>
                <w:rFonts w:hint="eastAsia"/>
                <w:sz w:val="24"/>
                <w:szCs w:val="24"/>
              </w:rPr>
              <w:t>1</w:t>
            </w:r>
          </w:p>
        </w:tc>
        <w:tc>
          <w:tcPr>
            <w:tcW w:w="781" w:type="pct"/>
            <w:vMerge w:val="restart"/>
            <w:vAlign w:val="center"/>
          </w:tcPr>
          <w:p>
            <w:pPr>
              <w:jc w:val="center"/>
              <w:rPr>
                <w:rFonts w:hint="default" w:ascii="宋体" w:hAnsi="宋体" w:eastAsia="宋体"/>
                <w:b/>
                <w:color w:val="000000"/>
                <w:sz w:val="24"/>
                <w:szCs w:val="24"/>
                <w:lang w:val="en-US" w:eastAsia="zh-CN"/>
              </w:rPr>
            </w:pPr>
            <w:r>
              <w:rPr>
                <w:rFonts w:hint="eastAsia" w:ascii="宋体" w:hAnsi="宋体"/>
                <w:b/>
                <w:color w:val="FF0000"/>
                <w:sz w:val="24"/>
                <w:szCs w:val="24"/>
              </w:rPr>
              <w:t>低碳覆盖剂</w:t>
            </w:r>
          </w:p>
        </w:tc>
        <w:tc>
          <w:tcPr>
            <w:tcW w:w="657" w:type="pct"/>
            <w:vMerge w:val="restart"/>
            <w:vAlign w:val="center"/>
          </w:tcPr>
          <w:p>
            <w:pPr>
              <w:jc w:val="center"/>
              <w:rPr>
                <w:rFonts w:hint="default" w:ascii="宋体" w:hAnsi="宋体" w:cs="Times New Roman"/>
                <w:b/>
                <w:color w:val="FF0000"/>
                <w:sz w:val="24"/>
                <w:szCs w:val="24"/>
                <w:lang w:val="en-US" w:eastAsia="zh-CN"/>
              </w:rPr>
            </w:pPr>
            <w:r>
              <w:rPr>
                <w:rFonts w:hint="eastAsia" w:ascii="宋体" w:hAnsi="宋体" w:cs="Times New Roman"/>
                <w:b/>
                <w:color w:val="FF0000"/>
                <w:sz w:val="24"/>
                <w:szCs w:val="24"/>
                <w:lang w:val="en-US" w:eastAsia="zh-CN"/>
              </w:rPr>
              <w:t>120</w:t>
            </w:r>
          </w:p>
        </w:tc>
        <w:tc>
          <w:tcPr>
            <w:tcW w:w="2228"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53"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379" w:type="pct"/>
            <w:vMerge w:val="continue"/>
            <w:vAlign w:val="center"/>
          </w:tcPr>
          <w:p>
            <w:pPr>
              <w:jc w:val="center"/>
              <w:rPr>
                <w:sz w:val="24"/>
                <w:szCs w:val="24"/>
              </w:rPr>
            </w:pPr>
          </w:p>
        </w:tc>
        <w:tc>
          <w:tcPr>
            <w:tcW w:w="781"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rFonts w:hint="eastAsia" w:ascii="宋体" w:hAnsi="宋体" w:cs="Times New Roman"/>
                <w:b/>
                <w:color w:val="FF0000"/>
                <w:sz w:val="24"/>
                <w:szCs w:val="24"/>
              </w:rPr>
            </w:pPr>
          </w:p>
        </w:tc>
        <w:tc>
          <w:tcPr>
            <w:tcW w:w="2228"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53"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79" w:type="pct"/>
            <w:vMerge w:val="restart"/>
            <w:vAlign w:val="center"/>
          </w:tcPr>
          <w:p>
            <w:pPr>
              <w:jc w:val="center"/>
              <w:rPr>
                <w:rFonts w:hint="eastAsia" w:eastAsia="宋体"/>
                <w:sz w:val="24"/>
                <w:szCs w:val="24"/>
                <w:lang w:val="en-US" w:eastAsia="zh-CN"/>
              </w:rPr>
            </w:pPr>
            <w:r>
              <w:rPr>
                <w:rFonts w:hint="eastAsia"/>
                <w:sz w:val="24"/>
                <w:szCs w:val="24"/>
                <w:lang w:val="en-US" w:eastAsia="zh-CN"/>
              </w:rPr>
              <w:t>2</w:t>
            </w:r>
          </w:p>
        </w:tc>
        <w:tc>
          <w:tcPr>
            <w:tcW w:w="781" w:type="pct"/>
            <w:vMerge w:val="restart"/>
            <w:vAlign w:val="center"/>
          </w:tcPr>
          <w:p>
            <w:pPr>
              <w:jc w:val="center"/>
              <w:rPr>
                <w:rFonts w:hint="eastAsia" w:ascii="宋体" w:hAnsi="宋体" w:cs="Times New Roman"/>
                <w:b/>
                <w:color w:val="FF0000"/>
                <w:sz w:val="24"/>
                <w:szCs w:val="24"/>
              </w:rPr>
            </w:pPr>
            <w:r>
              <w:rPr>
                <w:rFonts w:hint="eastAsia" w:ascii="宋体" w:hAnsi="宋体" w:cs="Times New Roman"/>
                <w:b/>
                <w:color w:val="FF0000"/>
                <w:sz w:val="24"/>
                <w:szCs w:val="24"/>
              </w:rPr>
              <w:t>FGJ-4覆盖剂</w:t>
            </w:r>
          </w:p>
        </w:tc>
        <w:tc>
          <w:tcPr>
            <w:tcW w:w="657" w:type="pct"/>
            <w:vMerge w:val="restart"/>
            <w:vAlign w:val="center"/>
          </w:tcPr>
          <w:p>
            <w:pPr>
              <w:jc w:val="center"/>
              <w:rPr>
                <w:rFonts w:hint="default" w:ascii="宋体" w:hAnsi="宋体" w:cs="Times New Roman"/>
                <w:b/>
                <w:color w:val="FF0000"/>
                <w:sz w:val="24"/>
                <w:szCs w:val="24"/>
                <w:lang w:val="en-US" w:eastAsia="zh-CN"/>
              </w:rPr>
            </w:pPr>
            <w:r>
              <w:rPr>
                <w:rFonts w:hint="eastAsia" w:ascii="宋体" w:hAnsi="宋体" w:cs="Times New Roman"/>
                <w:b/>
                <w:color w:val="FF0000"/>
                <w:sz w:val="24"/>
                <w:szCs w:val="24"/>
                <w:lang w:val="en-US" w:eastAsia="zh-CN"/>
              </w:rPr>
              <w:t>220</w:t>
            </w:r>
          </w:p>
        </w:tc>
        <w:tc>
          <w:tcPr>
            <w:tcW w:w="2228" w:type="pct"/>
            <w:vAlign w:val="top"/>
          </w:tcPr>
          <w:p>
            <w:pPr>
              <w:jc w:val="left"/>
              <w:rPr>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 xml:space="preserve">小写：                      </w:t>
            </w:r>
            <w:r>
              <w:rPr>
                <w:rFonts w:hint="eastAsia"/>
                <w:sz w:val="18"/>
                <w:szCs w:val="18"/>
              </w:rPr>
              <w:t>元/吨</w:t>
            </w:r>
          </w:p>
        </w:tc>
        <w:tc>
          <w:tcPr>
            <w:tcW w:w="953"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79" w:type="pct"/>
            <w:vMerge w:val="continue"/>
            <w:tcBorders/>
            <w:vAlign w:val="center"/>
          </w:tcPr>
          <w:p>
            <w:pPr>
              <w:jc w:val="center"/>
              <w:rPr>
                <w:sz w:val="24"/>
                <w:szCs w:val="24"/>
              </w:rPr>
            </w:pPr>
          </w:p>
        </w:tc>
        <w:tc>
          <w:tcPr>
            <w:tcW w:w="781" w:type="pct"/>
            <w:vMerge w:val="continue"/>
            <w:tcBorders/>
            <w:vAlign w:val="center"/>
          </w:tcPr>
          <w:p>
            <w:pPr>
              <w:jc w:val="center"/>
              <w:rPr>
                <w:rFonts w:hint="eastAsia" w:ascii="宋体" w:hAnsi="宋体" w:cs="Times New Roman"/>
                <w:b/>
                <w:color w:val="FF0000"/>
                <w:sz w:val="24"/>
                <w:szCs w:val="24"/>
              </w:rPr>
            </w:pPr>
          </w:p>
        </w:tc>
        <w:tc>
          <w:tcPr>
            <w:tcW w:w="657" w:type="pct"/>
            <w:vMerge w:val="continue"/>
            <w:tcBorders/>
            <w:vAlign w:val="center"/>
          </w:tcPr>
          <w:p>
            <w:pPr>
              <w:jc w:val="center"/>
              <w:rPr>
                <w:rFonts w:hint="eastAsia" w:ascii="宋体" w:hAnsi="宋体" w:cs="Times New Roman"/>
                <w:b/>
                <w:color w:val="FF0000"/>
                <w:sz w:val="24"/>
                <w:szCs w:val="24"/>
              </w:rPr>
            </w:pPr>
          </w:p>
        </w:tc>
        <w:tc>
          <w:tcPr>
            <w:tcW w:w="2228" w:type="pct"/>
            <w:vAlign w:val="top"/>
          </w:tcPr>
          <w:p>
            <w:pPr>
              <w:jc w:val="left"/>
              <w:rPr>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 xml:space="preserve">大写：                      </w:t>
            </w:r>
            <w:r>
              <w:rPr>
                <w:rFonts w:hint="eastAsia"/>
                <w:sz w:val="18"/>
                <w:szCs w:val="18"/>
              </w:rPr>
              <w:t>元/吨</w:t>
            </w:r>
          </w:p>
        </w:tc>
        <w:tc>
          <w:tcPr>
            <w:tcW w:w="953" w:type="pct"/>
            <w:vMerge w:val="continue"/>
            <w:tcBorders/>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379" w:type="pct"/>
            <w:vMerge w:val="restart"/>
            <w:vAlign w:val="center"/>
          </w:tcPr>
          <w:p>
            <w:pPr>
              <w:jc w:val="center"/>
              <w:rPr>
                <w:rFonts w:hint="eastAsia" w:eastAsia="宋体"/>
                <w:sz w:val="24"/>
                <w:szCs w:val="24"/>
                <w:lang w:val="en-US" w:eastAsia="zh-CN"/>
              </w:rPr>
            </w:pPr>
            <w:r>
              <w:rPr>
                <w:rFonts w:hint="eastAsia"/>
                <w:sz w:val="24"/>
                <w:szCs w:val="24"/>
                <w:lang w:val="en-US" w:eastAsia="zh-CN"/>
              </w:rPr>
              <w:t>3</w:t>
            </w:r>
          </w:p>
        </w:tc>
        <w:tc>
          <w:tcPr>
            <w:tcW w:w="781" w:type="pct"/>
            <w:vMerge w:val="restart"/>
            <w:vAlign w:val="center"/>
          </w:tcPr>
          <w:p>
            <w:pPr>
              <w:jc w:val="center"/>
              <w:rPr>
                <w:rFonts w:hint="eastAsia" w:ascii="宋体" w:hAnsi="宋体" w:cs="Times New Roman"/>
                <w:b/>
                <w:color w:val="FF0000"/>
                <w:sz w:val="24"/>
                <w:szCs w:val="24"/>
              </w:rPr>
            </w:pPr>
            <w:r>
              <w:rPr>
                <w:rFonts w:hint="eastAsia" w:ascii="宋体" w:hAnsi="宋体" w:cs="Times New Roman"/>
                <w:b/>
                <w:color w:val="FF0000"/>
                <w:sz w:val="24"/>
                <w:szCs w:val="24"/>
              </w:rPr>
              <w:t>FGJ-10覆盖剂</w:t>
            </w:r>
          </w:p>
        </w:tc>
        <w:tc>
          <w:tcPr>
            <w:tcW w:w="657" w:type="pct"/>
            <w:vMerge w:val="restart"/>
            <w:vAlign w:val="center"/>
          </w:tcPr>
          <w:p>
            <w:pPr>
              <w:jc w:val="center"/>
              <w:rPr>
                <w:rFonts w:hint="default" w:ascii="宋体" w:hAnsi="宋体" w:cs="Times New Roman"/>
                <w:b/>
                <w:color w:val="FF0000"/>
                <w:sz w:val="24"/>
                <w:szCs w:val="24"/>
                <w:lang w:val="en-US" w:eastAsia="zh-CN"/>
              </w:rPr>
            </w:pPr>
            <w:r>
              <w:rPr>
                <w:rFonts w:hint="eastAsia" w:ascii="宋体" w:hAnsi="宋体" w:cs="Times New Roman"/>
                <w:b/>
                <w:color w:val="FF0000"/>
                <w:sz w:val="24"/>
                <w:szCs w:val="24"/>
                <w:lang w:val="en-US" w:eastAsia="zh-CN"/>
              </w:rPr>
              <w:t>60</w:t>
            </w:r>
          </w:p>
        </w:tc>
        <w:tc>
          <w:tcPr>
            <w:tcW w:w="2228" w:type="pct"/>
            <w:vAlign w:val="top"/>
          </w:tcPr>
          <w:p>
            <w:pPr>
              <w:jc w:val="left"/>
              <w:rPr>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 xml:space="preserve">小写：                      </w:t>
            </w:r>
            <w:r>
              <w:rPr>
                <w:rFonts w:hint="eastAsia"/>
                <w:sz w:val="18"/>
                <w:szCs w:val="18"/>
              </w:rPr>
              <w:t>元/吨</w:t>
            </w:r>
          </w:p>
        </w:tc>
        <w:tc>
          <w:tcPr>
            <w:tcW w:w="953"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79" w:type="pct"/>
            <w:vMerge w:val="continue"/>
            <w:tcBorders/>
            <w:vAlign w:val="center"/>
          </w:tcPr>
          <w:p>
            <w:pPr>
              <w:jc w:val="center"/>
              <w:rPr>
                <w:sz w:val="24"/>
                <w:szCs w:val="24"/>
              </w:rPr>
            </w:pPr>
          </w:p>
        </w:tc>
        <w:tc>
          <w:tcPr>
            <w:tcW w:w="781" w:type="pct"/>
            <w:vMerge w:val="continue"/>
            <w:tcBorders/>
            <w:vAlign w:val="center"/>
          </w:tcPr>
          <w:p>
            <w:pPr>
              <w:jc w:val="center"/>
              <w:rPr>
                <w:rFonts w:ascii="宋体" w:hAnsi="宋体"/>
                <w:b/>
                <w:color w:val="000000"/>
                <w:sz w:val="24"/>
                <w:szCs w:val="24"/>
              </w:rPr>
            </w:pPr>
          </w:p>
        </w:tc>
        <w:tc>
          <w:tcPr>
            <w:tcW w:w="657" w:type="pct"/>
            <w:vMerge w:val="continue"/>
            <w:tcBorders/>
            <w:vAlign w:val="center"/>
          </w:tcPr>
          <w:p>
            <w:pPr>
              <w:jc w:val="center"/>
              <w:rPr>
                <w:sz w:val="24"/>
                <w:szCs w:val="24"/>
              </w:rPr>
            </w:pPr>
          </w:p>
        </w:tc>
        <w:tc>
          <w:tcPr>
            <w:tcW w:w="2228" w:type="pct"/>
            <w:vAlign w:val="top"/>
          </w:tcPr>
          <w:p>
            <w:pPr>
              <w:jc w:val="left"/>
              <w:rPr>
                <w:sz w:val="24"/>
                <w:szCs w:val="24"/>
              </w:rPr>
            </w:pPr>
          </w:p>
          <w:p>
            <w:pPr>
              <w:jc w:val="left"/>
              <w:rPr>
                <w:rFonts w:hint="eastAsia" w:ascii="Times New Roman" w:hAnsi="Times New Roman" w:eastAsia="宋体" w:cs="Times New Roman"/>
                <w:kern w:val="2"/>
                <w:sz w:val="24"/>
                <w:szCs w:val="24"/>
                <w:lang w:val="en-US" w:eastAsia="zh-CN" w:bidi="ar-SA"/>
              </w:rPr>
            </w:pPr>
            <w:r>
              <w:rPr>
                <w:rFonts w:hint="eastAsia"/>
                <w:sz w:val="24"/>
                <w:szCs w:val="24"/>
              </w:rPr>
              <w:t xml:space="preserve">大写：                      </w:t>
            </w:r>
            <w:r>
              <w:rPr>
                <w:rFonts w:hint="eastAsia"/>
                <w:sz w:val="18"/>
                <w:szCs w:val="18"/>
              </w:rPr>
              <w:t>元/吨</w:t>
            </w:r>
          </w:p>
        </w:tc>
        <w:tc>
          <w:tcPr>
            <w:tcW w:w="953" w:type="pct"/>
            <w:vMerge w:val="continue"/>
            <w:tcBorders/>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spacing w:line="480" w:lineRule="auto"/>
        <w:rPr>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AD3FFC"/>
    <w:multiLevelType w:val="singleLevel"/>
    <w:tmpl w:val="BAAD3FFC"/>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DF1"/>
    <w:rsid w:val="003E1136"/>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C6A28"/>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96C4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95305"/>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C1EF9"/>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2C15B80"/>
    <w:rsid w:val="038D2F19"/>
    <w:rsid w:val="043C4162"/>
    <w:rsid w:val="04823B21"/>
    <w:rsid w:val="04933903"/>
    <w:rsid w:val="05325D34"/>
    <w:rsid w:val="053B5FB3"/>
    <w:rsid w:val="05C52E89"/>
    <w:rsid w:val="06CB7169"/>
    <w:rsid w:val="07BA48CA"/>
    <w:rsid w:val="0831406E"/>
    <w:rsid w:val="085B58B3"/>
    <w:rsid w:val="08A96692"/>
    <w:rsid w:val="09023517"/>
    <w:rsid w:val="0B5E1A54"/>
    <w:rsid w:val="0BFF25BD"/>
    <w:rsid w:val="0CBC295F"/>
    <w:rsid w:val="0CFC1274"/>
    <w:rsid w:val="0DF07D84"/>
    <w:rsid w:val="0E497616"/>
    <w:rsid w:val="0E4C49D6"/>
    <w:rsid w:val="0E5345A5"/>
    <w:rsid w:val="0E842CB1"/>
    <w:rsid w:val="0F0803D8"/>
    <w:rsid w:val="0F347211"/>
    <w:rsid w:val="10CA64E1"/>
    <w:rsid w:val="110928F7"/>
    <w:rsid w:val="11654D47"/>
    <w:rsid w:val="135C10D5"/>
    <w:rsid w:val="139F3DA1"/>
    <w:rsid w:val="13B167BE"/>
    <w:rsid w:val="13D576D7"/>
    <w:rsid w:val="154D48F1"/>
    <w:rsid w:val="16541AFE"/>
    <w:rsid w:val="1694444C"/>
    <w:rsid w:val="17F97F08"/>
    <w:rsid w:val="18560C92"/>
    <w:rsid w:val="18ED4DB4"/>
    <w:rsid w:val="19B16948"/>
    <w:rsid w:val="1A577895"/>
    <w:rsid w:val="1A8A6D05"/>
    <w:rsid w:val="1ACD5016"/>
    <w:rsid w:val="1B572CF1"/>
    <w:rsid w:val="1CCB1E53"/>
    <w:rsid w:val="1D2E11E1"/>
    <w:rsid w:val="1E8E57E6"/>
    <w:rsid w:val="1E937D02"/>
    <w:rsid w:val="1F107E3E"/>
    <w:rsid w:val="1F4242F7"/>
    <w:rsid w:val="1F802445"/>
    <w:rsid w:val="205026F2"/>
    <w:rsid w:val="21133B37"/>
    <w:rsid w:val="21534F77"/>
    <w:rsid w:val="21A2160C"/>
    <w:rsid w:val="21E966E6"/>
    <w:rsid w:val="229A132A"/>
    <w:rsid w:val="22B96773"/>
    <w:rsid w:val="22E00851"/>
    <w:rsid w:val="23CB766B"/>
    <w:rsid w:val="23D22DCD"/>
    <w:rsid w:val="246A25A2"/>
    <w:rsid w:val="25206CD2"/>
    <w:rsid w:val="25230E4D"/>
    <w:rsid w:val="25B129B0"/>
    <w:rsid w:val="26F50CB1"/>
    <w:rsid w:val="26F906B4"/>
    <w:rsid w:val="278055FF"/>
    <w:rsid w:val="288D3DC5"/>
    <w:rsid w:val="28E2171B"/>
    <w:rsid w:val="29401D6D"/>
    <w:rsid w:val="296C172C"/>
    <w:rsid w:val="2A60183A"/>
    <w:rsid w:val="2BBB5AD5"/>
    <w:rsid w:val="2BF10F3E"/>
    <w:rsid w:val="2BF40243"/>
    <w:rsid w:val="2C204052"/>
    <w:rsid w:val="2C480786"/>
    <w:rsid w:val="2C4E01C4"/>
    <w:rsid w:val="2CF31D5E"/>
    <w:rsid w:val="2E3D1B0F"/>
    <w:rsid w:val="2EDD294B"/>
    <w:rsid w:val="3036622A"/>
    <w:rsid w:val="30CA3841"/>
    <w:rsid w:val="3130279D"/>
    <w:rsid w:val="31DF7B93"/>
    <w:rsid w:val="339D246B"/>
    <w:rsid w:val="342060A8"/>
    <w:rsid w:val="34BB556C"/>
    <w:rsid w:val="35212328"/>
    <w:rsid w:val="358603F2"/>
    <w:rsid w:val="35E1644D"/>
    <w:rsid w:val="36A65EF8"/>
    <w:rsid w:val="36FB2C59"/>
    <w:rsid w:val="373827F1"/>
    <w:rsid w:val="379345D1"/>
    <w:rsid w:val="37974BFF"/>
    <w:rsid w:val="37BE23C2"/>
    <w:rsid w:val="387F2F2C"/>
    <w:rsid w:val="3A3F65BD"/>
    <w:rsid w:val="3A773720"/>
    <w:rsid w:val="3AA26DA4"/>
    <w:rsid w:val="3ACA07AB"/>
    <w:rsid w:val="3B14535E"/>
    <w:rsid w:val="3C456A69"/>
    <w:rsid w:val="3C487023"/>
    <w:rsid w:val="3C887586"/>
    <w:rsid w:val="3CC70055"/>
    <w:rsid w:val="3D5A40AB"/>
    <w:rsid w:val="3D6C2AAA"/>
    <w:rsid w:val="3DB441B2"/>
    <w:rsid w:val="3DCD4C3C"/>
    <w:rsid w:val="3DD2066D"/>
    <w:rsid w:val="3E371640"/>
    <w:rsid w:val="3EB93F1F"/>
    <w:rsid w:val="3EF869AA"/>
    <w:rsid w:val="3F0B65A3"/>
    <w:rsid w:val="3FC82DB5"/>
    <w:rsid w:val="403E589B"/>
    <w:rsid w:val="404A6AC9"/>
    <w:rsid w:val="41394D83"/>
    <w:rsid w:val="41A706B0"/>
    <w:rsid w:val="41BF02F4"/>
    <w:rsid w:val="422E1FDF"/>
    <w:rsid w:val="423C71D1"/>
    <w:rsid w:val="426213B7"/>
    <w:rsid w:val="42CE1EFE"/>
    <w:rsid w:val="43944C62"/>
    <w:rsid w:val="4500284B"/>
    <w:rsid w:val="45407B03"/>
    <w:rsid w:val="45C004AA"/>
    <w:rsid w:val="4705636F"/>
    <w:rsid w:val="47847BD9"/>
    <w:rsid w:val="47AD4330"/>
    <w:rsid w:val="48E1049E"/>
    <w:rsid w:val="4915316A"/>
    <w:rsid w:val="49280B38"/>
    <w:rsid w:val="492C5B3D"/>
    <w:rsid w:val="4B600992"/>
    <w:rsid w:val="4B635392"/>
    <w:rsid w:val="4BA21255"/>
    <w:rsid w:val="4D3C2DFC"/>
    <w:rsid w:val="4DC66F68"/>
    <w:rsid w:val="4F2B02E1"/>
    <w:rsid w:val="4FFC5D63"/>
    <w:rsid w:val="514F2EE0"/>
    <w:rsid w:val="51A458AF"/>
    <w:rsid w:val="52E54E97"/>
    <w:rsid w:val="52EE0AE7"/>
    <w:rsid w:val="554C057B"/>
    <w:rsid w:val="562E1D47"/>
    <w:rsid w:val="566E6D8E"/>
    <w:rsid w:val="56FF0A43"/>
    <w:rsid w:val="57AC75B3"/>
    <w:rsid w:val="57D705F2"/>
    <w:rsid w:val="5AAF6E02"/>
    <w:rsid w:val="5AEA3AD0"/>
    <w:rsid w:val="5B1A1646"/>
    <w:rsid w:val="5B1D2529"/>
    <w:rsid w:val="5B35349E"/>
    <w:rsid w:val="5BA959B9"/>
    <w:rsid w:val="5C4915E9"/>
    <w:rsid w:val="5C5D15BF"/>
    <w:rsid w:val="5CA21D6E"/>
    <w:rsid w:val="5D173705"/>
    <w:rsid w:val="5D1B4B8A"/>
    <w:rsid w:val="5D915ACD"/>
    <w:rsid w:val="5D9D5007"/>
    <w:rsid w:val="5E611270"/>
    <w:rsid w:val="5EB2026E"/>
    <w:rsid w:val="5EE47D82"/>
    <w:rsid w:val="61033D16"/>
    <w:rsid w:val="61C82304"/>
    <w:rsid w:val="625B24D7"/>
    <w:rsid w:val="62CD795C"/>
    <w:rsid w:val="63E65DE6"/>
    <w:rsid w:val="646C4593"/>
    <w:rsid w:val="64E51391"/>
    <w:rsid w:val="66EA0C9A"/>
    <w:rsid w:val="66FB3BC1"/>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E4EAA"/>
    <w:rsid w:val="754F1E1A"/>
    <w:rsid w:val="75752CD3"/>
    <w:rsid w:val="761859F6"/>
    <w:rsid w:val="76206BC5"/>
    <w:rsid w:val="778A5616"/>
    <w:rsid w:val="780E1C86"/>
    <w:rsid w:val="797A02ED"/>
    <w:rsid w:val="79B23223"/>
    <w:rsid w:val="79DE1204"/>
    <w:rsid w:val="7A447EB1"/>
    <w:rsid w:val="7A6263B1"/>
    <w:rsid w:val="7ADF17B7"/>
    <w:rsid w:val="7B386B42"/>
    <w:rsid w:val="7BBC102F"/>
    <w:rsid w:val="7BD509C2"/>
    <w:rsid w:val="7C9625E2"/>
    <w:rsid w:val="7D2A47F3"/>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4543</Words>
  <Characters>1457</Characters>
  <Lines>12</Lines>
  <Paragraphs>11</Paragraphs>
  <TotalTime>76</TotalTime>
  <ScaleCrop>false</ScaleCrop>
  <LinksUpToDate>false</LinksUpToDate>
  <CharactersWithSpaces>5989</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2021-01-15T08:25:17Z</dcterms:modified>
  <dc:title>招 标 发 布</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