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铸造涂料及电机壳涂料</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w:t>
      </w:r>
      <w:r>
        <w:rPr>
          <w:rFonts w:hint="eastAsia"/>
          <w:color w:val="000000"/>
          <w:sz w:val="24"/>
          <w:szCs w:val="24"/>
          <w:u w:val="single"/>
          <w:lang w:val="en-US" w:eastAsia="zh-CN"/>
        </w:rPr>
        <w:t>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18</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ZJ</w:t>
      </w:r>
      <w:r>
        <w:rPr>
          <w:rFonts w:hint="eastAsia" w:ascii="宋体" w:hAnsi="宋体"/>
          <w:u w:val="single"/>
        </w:rPr>
        <w:t>SC202</w:t>
      </w:r>
      <w:r>
        <w:rPr>
          <w:rFonts w:hint="eastAsia" w:ascii="宋体" w:hAnsi="宋体"/>
          <w:u w:val="single"/>
          <w:lang w:val="en-US" w:eastAsia="zh-CN"/>
        </w:rPr>
        <w:t>101</w:t>
      </w:r>
      <w:r>
        <w:rPr>
          <w:rFonts w:hint="eastAsia" w:ascii="宋体" w:hAnsi="宋体"/>
          <w:u w:val="single"/>
        </w:rPr>
        <w:t>0</w:t>
      </w:r>
      <w:r>
        <w:rPr>
          <w:rFonts w:hint="eastAsia" w:ascii="宋体" w:hAnsi="宋体"/>
          <w:u w:val="single"/>
          <w:lang w:val="en-US" w:eastAsia="zh-CN"/>
        </w:rPr>
        <w:t>013ZZTLJDJKTL</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铸造涂料及电机壳涂料</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进行招标，有意向合作的公司可与我公司联系并且网上报名（疫情期间谢绝现场报名）。请按要求填写投标报名函，并附上相关资质资料等，公平交易承诺函（加盖公章）扫描后发至石宇邮箱。</w:t>
      </w:r>
    </w:p>
    <w:p>
      <w:pPr>
        <w:pStyle w:val="9"/>
        <w:widowControl/>
        <w:shd w:val="clear" w:color="auto" w:fill="FFFFFF"/>
        <w:spacing w:line="400" w:lineRule="exact"/>
        <w:rPr>
          <w:rFonts w:ascii="宋体" w:hAnsi="宋体"/>
          <w:kern w:val="2"/>
        </w:rPr>
      </w:pPr>
      <w:r>
        <w:rPr>
          <w:rFonts w:hint="eastAsia" w:ascii="宋体" w:hAnsi="宋体"/>
          <w:kern w:val="2"/>
        </w:rPr>
        <w:t xml:space="preserve">联系人及电话： </w:t>
      </w:r>
      <w:bookmarkStart w:id="0" w:name="_GoBack"/>
      <w:bookmarkEnd w:id="0"/>
    </w:p>
    <w:p>
      <w:pPr>
        <w:spacing w:line="400" w:lineRule="exact"/>
        <w:rPr>
          <w:rFonts w:ascii="宋体" w:hAnsi="宋体"/>
          <w:sz w:val="24"/>
          <w:szCs w:val="24"/>
        </w:rPr>
      </w:pPr>
      <w:r>
        <w:rPr>
          <w:rFonts w:hint="eastAsia" w:ascii="宋体" w:hAnsi="宋体"/>
          <w:sz w:val="24"/>
          <w:szCs w:val="24"/>
        </w:rPr>
        <w:t>招标办：       石  宇  15255329626</w:t>
      </w:r>
    </w:p>
    <w:p>
      <w:pPr>
        <w:spacing w:line="400" w:lineRule="exact"/>
        <w:rPr>
          <w:rFonts w:hint="default" w:ascii="宋体" w:hAnsi="宋体" w:eastAsia="宋体"/>
          <w:sz w:val="24"/>
          <w:szCs w:val="24"/>
          <w:lang w:val="en-US" w:eastAsia="zh-CN"/>
        </w:rPr>
      </w:pPr>
      <w:r>
        <w:rPr>
          <w:rFonts w:hint="eastAsia" w:ascii="宋体" w:hAnsi="宋体"/>
          <w:sz w:val="24"/>
          <w:szCs w:val="24"/>
        </w:rPr>
        <w:t xml:space="preserve">炉料部：       </w:t>
      </w:r>
      <w:r>
        <w:rPr>
          <w:rFonts w:hint="eastAsia" w:ascii="宋体" w:hAnsi="宋体"/>
          <w:sz w:val="24"/>
          <w:szCs w:val="24"/>
          <w:lang w:val="en-US" w:eastAsia="zh-CN"/>
        </w:rPr>
        <w:t>柯</w:t>
      </w:r>
      <w:r>
        <w:rPr>
          <w:rFonts w:hint="eastAsia" w:ascii="宋体" w:hAnsi="宋体"/>
          <w:sz w:val="24"/>
          <w:szCs w:val="24"/>
        </w:rPr>
        <w:t xml:space="preserve">  工    </w:t>
      </w:r>
      <w:r>
        <w:rPr>
          <w:rFonts w:hint="eastAsia" w:ascii="宋体" w:hAnsi="宋体"/>
          <w:sz w:val="24"/>
          <w:szCs w:val="24"/>
          <w:lang w:val="en-US" w:eastAsia="zh-CN"/>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01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25</w:t>
      </w:r>
      <w:r>
        <w:rPr>
          <w:rFonts w:ascii="宋体" w:hAnsi="宋体"/>
          <w:bCs/>
          <w:sz w:val="24"/>
          <w:szCs w:val="24"/>
        </w:rPr>
        <w:t>日</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27</w:t>
      </w:r>
      <w:r>
        <w:rPr>
          <w:rFonts w:hint="eastAsia" w:ascii="宋体" w:hAnsi="宋体"/>
          <w:sz w:val="24"/>
          <w:szCs w:val="24"/>
          <w:u w:val="single"/>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w:t>
      </w:r>
      <w:r>
        <w:rPr>
          <w:rFonts w:hint="eastAsia"/>
          <w:color w:val="2A2A2A"/>
          <w:sz w:val="24"/>
          <w:szCs w:val="24"/>
          <w:u w:val="single"/>
          <w:shd w:val="clear" w:color="auto" w:fill="FFFFFF"/>
        </w:rPr>
        <w:t>:30</w:t>
      </w:r>
      <w:r>
        <w:rPr>
          <w:rFonts w:hint="eastAsia"/>
          <w:color w:val="2A2A2A"/>
          <w:sz w:val="24"/>
          <w:szCs w:val="24"/>
          <w:shd w:val="clear" w:color="auto" w:fill="FFFFFF"/>
        </w:rPr>
        <w:t xml:space="preserve"> </w:t>
      </w:r>
      <w:r>
        <w:rPr>
          <w:rFonts w:hint="eastAsia" w:ascii="宋体" w:hAnsi="宋体"/>
          <w:bCs/>
          <w:sz w:val="24"/>
          <w:szCs w:val="24"/>
        </w:rPr>
        <w:t>，在芜湖新兴铸管有限责任公司三山工业园区招标办会议室 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石 宇           </w:t>
      </w:r>
    </w:p>
    <w:p>
      <w:pPr>
        <w:snapToGrid w:val="0"/>
        <w:spacing w:line="300" w:lineRule="auto"/>
        <w:ind w:firstLine="1680" w:firstLineChars="700"/>
        <w:rPr>
          <w:rFonts w:ascii="宋体" w:hAnsi="宋体"/>
          <w:sz w:val="24"/>
          <w:szCs w:val="24"/>
        </w:rPr>
      </w:pPr>
      <w:r>
        <w:rPr>
          <w:rFonts w:hint="eastAsia" w:ascii="宋体" w:hAnsi="宋体"/>
          <w:sz w:val="24"/>
          <w:szCs w:val="24"/>
        </w:rPr>
        <w:t>邮    箱：15255329626@163.com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 xml:space="preserve"> 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25</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1、付款方式：发票入账后承兑结算。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color w:val="FF0000"/>
          <w:sz w:val="28"/>
          <w:szCs w:val="28"/>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满足附件技术要求及</w:t>
      </w:r>
      <w:r>
        <w:rPr>
          <w:rFonts w:hint="eastAsia" w:ascii="宋体" w:hAnsi="宋体"/>
          <w:b/>
          <w:color w:val="FF0000"/>
          <w:sz w:val="24"/>
          <w:szCs w:val="24"/>
          <w:lang w:val="en-US" w:eastAsia="zh-CN"/>
        </w:rPr>
        <w:t>铸件部</w:t>
      </w:r>
      <w:r>
        <w:rPr>
          <w:rFonts w:hint="eastAsia" w:ascii="宋体" w:hAnsi="宋体"/>
          <w:b/>
          <w:color w:val="FF0000"/>
          <w:sz w:val="24"/>
          <w:szCs w:val="24"/>
        </w:rPr>
        <w:t>使用要求。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该项目分</w:t>
      </w:r>
      <w:r>
        <w:rPr>
          <w:rFonts w:hint="eastAsia" w:ascii="宋体" w:hAnsi="宋体"/>
          <w:b/>
          <w:color w:val="FF0000"/>
          <w:sz w:val="24"/>
          <w:szCs w:val="24"/>
          <w:lang w:val="en-US" w:eastAsia="zh-CN"/>
        </w:rPr>
        <w:t>两</w:t>
      </w:r>
      <w:r>
        <w:rPr>
          <w:rFonts w:hint="eastAsia" w:ascii="宋体" w:hAnsi="宋体"/>
          <w:b/>
          <w:color w:val="FF0000"/>
          <w:sz w:val="24"/>
          <w:szCs w:val="24"/>
        </w:rPr>
        <w:t>个标段：1</w:t>
      </w:r>
      <w:r>
        <w:rPr>
          <w:rFonts w:hint="eastAsia" w:ascii="宋体" w:hAnsi="宋体"/>
          <w:b/>
          <w:color w:val="FF0000"/>
          <w:sz w:val="24"/>
          <w:szCs w:val="24"/>
          <w:lang w:eastAsia="zh-CN"/>
        </w:rPr>
        <w:t>、</w:t>
      </w:r>
      <w:r>
        <w:rPr>
          <w:rFonts w:hint="eastAsia" w:ascii="宋体" w:hAnsi="宋体"/>
          <w:b/>
          <w:color w:val="FF0000"/>
          <w:sz w:val="24"/>
          <w:szCs w:val="24"/>
          <w:lang w:val="en-US" w:eastAsia="zh-CN"/>
        </w:rPr>
        <w:t>铸造涂料（约840吨）</w:t>
      </w:r>
      <w:r>
        <w:rPr>
          <w:rFonts w:hint="eastAsia" w:ascii="宋体" w:hAnsi="宋体"/>
          <w:b/>
          <w:color w:val="FF0000"/>
          <w:sz w:val="24"/>
          <w:szCs w:val="24"/>
        </w:rPr>
        <w:t>；2、</w:t>
      </w:r>
      <w:r>
        <w:rPr>
          <w:rFonts w:hint="eastAsia" w:ascii="宋体" w:hAnsi="宋体"/>
          <w:b/>
          <w:color w:val="FF0000"/>
          <w:sz w:val="24"/>
          <w:szCs w:val="24"/>
          <w:lang w:val="en-US" w:eastAsia="zh-CN"/>
        </w:rPr>
        <w:t>电机壳涂料（约60吨）。以上数量为一年理论使用数量（</w:t>
      </w:r>
      <w:r>
        <w:rPr>
          <w:rFonts w:hint="eastAsia" w:ascii="宋体" w:hAnsi="宋体"/>
          <w:b/>
          <w:color w:val="FF0000"/>
          <w:sz w:val="24"/>
          <w:szCs w:val="24"/>
        </w:rPr>
        <w:t>具体供货数量以生产单位实际用量为准，具体供货时间以商务部门通知为准</w:t>
      </w:r>
      <w:r>
        <w:rPr>
          <w:rFonts w:hint="eastAsia" w:ascii="宋体" w:hAnsi="宋体"/>
          <w:b/>
          <w:color w:val="FF0000"/>
          <w:sz w:val="24"/>
          <w:szCs w:val="24"/>
          <w:lang w:val="en-US" w:eastAsia="zh-CN"/>
        </w:rPr>
        <w:t>）</w:t>
      </w:r>
      <w:r>
        <w:rPr>
          <w:rFonts w:hint="eastAsia" w:ascii="宋体" w:hAnsi="宋体"/>
          <w:b/>
          <w:color w:val="FF0000"/>
          <w:sz w:val="24"/>
          <w:szCs w:val="24"/>
          <w:lang w:eastAsia="zh-CN"/>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报名厂家需提供相关</w:t>
      </w:r>
      <w:r>
        <w:rPr>
          <w:rFonts w:hint="eastAsia" w:ascii="宋体" w:hAnsi="宋体"/>
          <w:b/>
          <w:color w:val="FF0000"/>
          <w:sz w:val="24"/>
          <w:szCs w:val="24"/>
        </w:rPr>
        <w:t>供货业绩。</w:t>
      </w:r>
    </w:p>
    <w:p>
      <w:pPr>
        <w:spacing w:line="360" w:lineRule="auto"/>
        <w:ind w:firstLine="482" w:firstLineChars="200"/>
        <w:rPr>
          <w:rFonts w:hint="default" w:ascii="宋体" w:hAnsi="宋体" w:eastAsia="宋体"/>
          <w:b/>
          <w:color w:val="FF0000"/>
          <w:sz w:val="24"/>
          <w:szCs w:val="24"/>
          <w:lang w:val="en-US" w:eastAsia="zh-CN"/>
        </w:rPr>
      </w:pPr>
      <w:r>
        <w:rPr>
          <w:rFonts w:hint="eastAsia" w:ascii="宋体" w:hAnsi="宋体"/>
          <w:b/>
          <w:color w:val="FF0000"/>
          <w:sz w:val="24"/>
          <w:szCs w:val="24"/>
          <w:lang w:val="en-US" w:eastAsia="zh-CN"/>
        </w:rPr>
        <w:t>4.报名厂家需在开标前进行试验，试验合格后方能参与招标（已经试验成功的单位或正在供货的单位可不做试验）。</w:t>
      </w:r>
    </w:p>
    <w:p>
      <w:pPr>
        <w:ind w:firstLine="482" w:firstLineChars="200"/>
        <w:jc w:val="left"/>
        <w:rPr>
          <w:rFonts w:hint="eastAsia"/>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w:t>
      </w:r>
      <w:r>
        <w:rPr>
          <w:rFonts w:hint="eastAsia"/>
          <w:b/>
          <w:color w:val="FF0000"/>
          <w:sz w:val="24"/>
          <w:szCs w:val="24"/>
        </w:rPr>
        <w:t>最高投标限价为：</w:t>
      </w:r>
    </w:p>
    <w:p>
      <w:pPr>
        <w:ind w:firstLine="482" w:firstLineChars="200"/>
        <w:jc w:val="left"/>
        <w:rPr>
          <w:rFonts w:hint="eastAsia" w:ascii="宋体" w:hAnsi="宋体"/>
          <w:b/>
          <w:color w:val="FF0000"/>
          <w:sz w:val="24"/>
          <w:szCs w:val="24"/>
          <w:lang w:val="en-US" w:eastAsia="zh-CN"/>
        </w:rPr>
      </w:pPr>
      <w:r>
        <w:rPr>
          <w:rFonts w:hint="eastAsia"/>
          <w:b/>
          <w:color w:val="FF0000"/>
          <w:sz w:val="24"/>
          <w:szCs w:val="24"/>
          <w:lang w:val="en-US" w:eastAsia="zh-CN"/>
        </w:rPr>
        <w:t xml:space="preserve">   1、</w:t>
      </w:r>
      <w:r>
        <w:rPr>
          <w:rFonts w:hint="eastAsia" w:ascii="宋体" w:hAnsi="宋体"/>
          <w:b/>
          <w:color w:val="FF0000"/>
          <w:sz w:val="24"/>
          <w:szCs w:val="24"/>
          <w:lang w:val="en-US" w:eastAsia="zh-CN"/>
        </w:rPr>
        <w:t>铸造涂料3800元/吨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大写：叁仟捌佰元每吨）；</w:t>
      </w:r>
    </w:p>
    <w:p>
      <w:pPr>
        <w:ind w:firstLine="482" w:firstLineChars="200"/>
        <w:jc w:val="left"/>
        <w:rPr>
          <w:rFonts w:hint="eastAsia" w:ascii="宋体" w:hAnsi="宋体"/>
          <w:b/>
          <w:color w:val="FF0000"/>
          <w:sz w:val="24"/>
          <w:szCs w:val="24"/>
          <w:lang w:eastAsia="zh-CN"/>
        </w:rPr>
      </w:pPr>
      <w:r>
        <w:rPr>
          <w:rFonts w:hint="eastAsia" w:ascii="宋体" w:hAnsi="宋体"/>
          <w:b/>
          <w:color w:val="FF0000"/>
          <w:sz w:val="24"/>
          <w:szCs w:val="24"/>
          <w:lang w:val="en-US" w:eastAsia="zh-CN"/>
        </w:rPr>
        <w:t xml:space="preserve">   2、电机壳涂料3800元/吨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大写：叁仟捌佰元每吨</w:t>
      </w:r>
      <w:r>
        <w:rPr>
          <w:rFonts w:hint="eastAsia" w:ascii="宋体" w:hAnsi="宋体"/>
          <w:b/>
          <w:color w:val="FF0000"/>
          <w:sz w:val="24"/>
          <w:szCs w:val="24"/>
          <w:lang w:eastAsia="zh-CN"/>
        </w:rPr>
        <w:t>）；</w:t>
      </w:r>
    </w:p>
    <w:p>
      <w:pPr>
        <w:ind w:firstLine="482" w:firstLineChars="200"/>
        <w:jc w:val="left"/>
        <w:rPr>
          <w:rFonts w:ascii="宋体" w:hAnsi="宋体"/>
          <w:b/>
          <w:color w:val="FF0000"/>
          <w:sz w:val="24"/>
          <w:szCs w:val="24"/>
        </w:rPr>
      </w:pPr>
      <w:r>
        <w:rPr>
          <w:rFonts w:hint="eastAsia" w:ascii="宋体" w:hAnsi="宋体"/>
          <w:b/>
          <w:color w:val="FF0000"/>
          <w:sz w:val="24"/>
          <w:szCs w:val="24"/>
          <w:lang w:val="en-US" w:eastAsia="zh-CN"/>
        </w:rPr>
        <w:t xml:space="preserve">  </w:t>
      </w:r>
      <w:r>
        <w:rPr>
          <w:rFonts w:hint="eastAsia"/>
          <w:b/>
          <w:color w:val="FF0000"/>
          <w:sz w:val="24"/>
          <w:szCs w:val="24"/>
        </w:rPr>
        <w:t>报价高于此最高投标限价的作废标处理。</w:t>
      </w:r>
    </w:p>
    <w:p>
      <w:pPr>
        <w:spacing w:line="360" w:lineRule="auto"/>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jc w:val="center"/>
        <w:rPr>
          <w:rFonts w:hint="eastAsia"/>
          <w:b/>
          <w:bCs/>
          <w:sz w:val="32"/>
          <w:szCs w:val="28"/>
        </w:rPr>
      </w:pPr>
      <w:r>
        <w:rPr>
          <w:rFonts w:hint="eastAsia"/>
          <w:b/>
          <w:bCs/>
          <w:sz w:val="32"/>
          <w:szCs w:val="28"/>
        </w:rPr>
        <w:t>铸件部消失模涂料采购质量标准及用量</w:t>
      </w:r>
    </w:p>
    <w:p>
      <w:pPr>
        <w:jc w:val="center"/>
        <w:rPr>
          <w:rFonts w:hint="eastAsia"/>
          <w:b/>
          <w:bCs/>
          <w:sz w:val="32"/>
          <w:szCs w:val="28"/>
        </w:rPr>
      </w:pPr>
    </w:p>
    <w:p>
      <w:pPr>
        <w:spacing w:line="500" w:lineRule="exact"/>
        <w:rPr>
          <w:rFonts w:hint="eastAsia"/>
          <w:sz w:val="28"/>
          <w:szCs w:val="24"/>
        </w:rPr>
      </w:pPr>
      <w:r>
        <w:rPr>
          <w:rFonts w:hint="eastAsia"/>
          <w:b/>
          <w:bCs/>
          <w:sz w:val="28"/>
          <w:szCs w:val="24"/>
        </w:rPr>
        <w:t>消失模涂料性能要求</w:t>
      </w:r>
      <w:r>
        <w:rPr>
          <w:rFonts w:hint="eastAsia"/>
          <w:sz w:val="28"/>
          <w:szCs w:val="24"/>
        </w:rPr>
        <w:t>：</w:t>
      </w:r>
    </w:p>
    <w:p>
      <w:pPr>
        <w:numPr>
          <w:ilvl w:val="0"/>
          <w:numId w:val="9"/>
        </w:numPr>
        <w:spacing w:line="500" w:lineRule="exact"/>
        <w:rPr>
          <w:rFonts w:hint="eastAsia"/>
          <w:sz w:val="28"/>
          <w:szCs w:val="24"/>
        </w:rPr>
      </w:pPr>
      <w:r>
        <w:rPr>
          <w:rFonts w:hint="eastAsia"/>
          <w:sz w:val="28"/>
          <w:szCs w:val="24"/>
        </w:rPr>
        <w:t>参照GB/7322-2007标准，耐火度≥1650℃，稀释比=1：（1.0-1.15），悬浮性24h≥98%，密度1.3-1.5g/cm3，透气性0.68-0.78（600℃）cm3/g，高温强度60-65（600℃）KPa。</w:t>
      </w:r>
    </w:p>
    <w:p>
      <w:pPr>
        <w:numPr>
          <w:ilvl w:val="0"/>
          <w:numId w:val="9"/>
        </w:numPr>
        <w:spacing w:line="500" w:lineRule="exact"/>
        <w:rPr>
          <w:rFonts w:hint="eastAsia"/>
          <w:sz w:val="28"/>
          <w:szCs w:val="24"/>
        </w:rPr>
      </w:pPr>
      <w:r>
        <w:rPr>
          <w:rFonts w:hint="eastAsia"/>
          <w:sz w:val="28"/>
          <w:szCs w:val="24"/>
        </w:rPr>
        <w:t>最终情况以铸件部实际生产为准。</w:t>
      </w:r>
    </w:p>
    <w:p>
      <w:pPr>
        <w:spacing w:line="500" w:lineRule="exact"/>
        <w:rPr>
          <w:rFonts w:hint="eastAsia"/>
          <w:b/>
          <w:bCs/>
          <w:sz w:val="28"/>
          <w:szCs w:val="24"/>
        </w:rPr>
      </w:pPr>
      <w:r>
        <w:rPr>
          <w:rFonts w:hint="eastAsia"/>
          <w:b/>
          <w:bCs/>
          <w:sz w:val="28"/>
          <w:szCs w:val="24"/>
        </w:rPr>
        <w:t>消失模涂料扣款明细：</w:t>
      </w:r>
    </w:p>
    <w:p>
      <w:pPr>
        <w:adjustRightInd w:val="0"/>
        <w:snapToGrid w:val="0"/>
        <w:spacing w:line="500" w:lineRule="exact"/>
        <w:rPr>
          <w:rFonts w:hint="eastAsia"/>
          <w:b/>
          <w:bCs/>
          <w:sz w:val="28"/>
          <w:szCs w:val="21"/>
        </w:rPr>
      </w:pPr>
      <w:r>
        <w:rPr>
          <w:rFonts w:hint="eastAsia"/>
          <w:sz w:val="28"/>
          <w:szCs w:val="21"/>
        </w:rPr>
        <w:t>1、对使用过程中发现包装破损等影响使用的问题，按实际情况扣款1000元/批次；如情况严重，需方有权要求退货处理。如造成生产影响，所有损失由供货方承担，并向供货方进行索赔。</w:t>
      </w:r>
    </w:p>
    <w:p>
      <w:pPr>
        <w:spacing w:line="500" w:lineRule="exact"/>
        <w:rPr>
          <w:rFonts w:hint="eastAsia"/>
          <w:sz w:val="28"/>
          <w:szCs w:val="21"/>
        </w:rPr>
      </w:pPr>
      <w:r>
        <w:rPr>
          <w:rFonts w:hint="eastAsia"/>
          <w:sz w:val="28"/>
          <w:szCs w:val="21"/>
        </w:rPr>
        <w:t>2、消失模涂料需方不定期送至第三方权威机构进行抽样检测，检测结果不符合技术要求或超出技术要求范围过大的，需方有权提出考核，并要求供方及时做出整改，如在实际使用过程中，出现质量问题或生产事故，所有损失由供货方承担，并向供货方进行索赔。</w:t>
      </w:r>
    </w:p>
    <w:p>
      <w:pPr>
        <w:spacing w:line="500" w:lineRule="exact"/>
        <w:rPr>
          <w:rFonts w:hint="eastAsia"/>
          <w:sz w:val="28"/>
          <w:szCs w:val="21"/>
        </w:rPr>
      </w:pPr>
      <w:r>
        <w:rPr>
          <w:rFonts w:hint="eastAsia"/>
          <w:sz w:val="28"/>
          <w:szCs w:val="21"/>
        </w:rPr>
        <w:t>3、铸件部每月根据铸造涂料的使用情况，出具使用结算证明交炉料部，供货方根据结算证明开具增值税发票办理进账业务。</w:t>
      </w:r>
    </w:p>
    <w:p>
      <w:pPr>
        <w:spacing w:line="500" w:lineRule="exact"/>
        <w:rPr>
          <w:rFonts w:hint="eastAsia"/>
          <w:sz w:val="28"/>
          <w:szCs w:val="21"/>
        </w:rPr>
      </w:pPr>
      <w:r>
        <w:rPr>
          <w:rFonts w:hint="eastAsia"/>
          <w:sz w:val="28"/>
          <w:szCs w:val="21"/>
        </w:rPr>
        <w:t>4、铸件消失模涂料如发生质量问题将影响较大，因此要求招标单位试验合格后方能参与招标，避免发生恶性停产事故（已经试验成功的单位或正在供货的单位可不做试验）。</w:t>
      </w:r>
    </w:p>
    <w:p>
      <w:pPr>
        <w:spacing w:line="500" w:lineRule="exact"/>
        <w:rPr>
          <w:rFonts w:hint="eastAsia"/>
          <w:sz w:val="28"/>
          <w:szCs w:val="24"/>
        </w:rPr>
      </w:pPr>
      <w:r>
        <w:rPr>
          <w:rFonts w:hint="eastAsia"/>
          <w:b/>
          <w:bCs/>
          <w:sz w:val="28"/>
          <w:szCs w:val="24"/>
        </w:rPr>
        <w:t>涂料</w:t>
      </w:r>
      <w:r>
        <w:rPr>
          <w:rFonts w:hint="eastAsia"/>
          <w:b/>
          <w:bCs/>
          <w:sz w:val="28"/>
          <w:szCs w:val="21"/>
        </w:rPr>
        <w:t>使用数量：</w:t>
      </w:r>
      <w:r>
        <w:rPr>
          <w:rFonts w:hint="eastAsia"/>
          <w:sz w:val="28"/>
          <w:szCs w:val="21"/>
        </w:rPr>
        <w:t>1、消失模涂料每月需求70吨，电极壳涂料每月需求5吨（</w:t>
      </w:r>
      <w:r>
        <w:rPr>
          <w:rFonts w:hint="eastAsia"/>
          <w:sz w:val="28"/>
          <w:szCs w:val="24"/>
        </w:rPr>
        <w:t>根据订单情况，无订单情况下不需采购）。上述物料每月需分批到货。</w:t>
      </w:r>
    </w:p>
    <w:p>
      <w:pPr>
        <w:spacing w:line="500" w:lineRule="exact"/>
        <w:rPr>
          <w:rFonts w:hint="eastAsia"/>
          <w:sz w:val="28"/>
          <w:szCs w:val="24"/>
        </w:rPr>
      </w:pPr>
    </w:p>
    <w:p>
      <w:pPr>
        <w:rPr>
          <w:rFonts w:ascii="宋体" w:hAnsi="宋体"/>
          <w:sz w:val="24"/>
          <w:szCs w:val="24"/>
        </w:rPr>
      </w:pPr>
      <w:r>
        <w:rPr>
          <w:rFonts w:hint="eastAsia" w:ascii="宋体" w:hAnsi="宋体"/>
          <w:sz w:val="24"/>
          <w:szCs w:val="24"/>
        </w:rPr>
        <w:br w:type="page"/>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铸造涂料及电机壳涂料</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8" o:spt="1" style="position:absolute;left:0pt;margin-left:209.15pt;margin-top:2.25pt;height:84.7pt;width:147.5pt;z-index:251658240;mso-width-relative:page;mso-height-relative:page;"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path/>
            <v:fill type="gradient" on="t" angle="90" focus="100%" focussize="0f,0f">
              <o:fill type="gradientUnscaled" v:ext="backwardCompatible"/>
            </v:fill>
            <v:stroke weight="1.25pt" color="#739CC3"/>
            <v:imagedata o:title=""/>
            <o:lock v:ext="edit"/>
            <v:textbox>
              <w:txbxContent>
                <w:p/>
              </w:txbxContent>
            </v:textbox>
          </v:rect>
        </w:pict>
      </w:r>
      <w:r>
        <w:rPr>
          <w:rFonts w:hint="eastAsia"/>
        </w:rPr>
        <w:pict>
          <v:rect id="矩形 7" o:spid="_x0000_s1027" o:spt="1" style="position:absolute;left:0pt;margin-left:39.45pt;margin-top:1.6pt;height:84.7pt;width:147.5pt;z-index:251658240;mso-width-relative:page;mso-height-relative:page;"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path/>
            <v:fill type="gradient" on="t" angle="90" focus="10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40"/>
        <w:gridCol w:w="1211"/>
        <w:gridCol w:w="4107"/>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7" w:type="pct"/>
            <w:vAlign w:val="center"/>
          </w:tcPr>
          <w:p>
            <w:pPr>
              <w:jc w:val="center"/>
              <w:rPr>
                <w:rFonts w:hint="eastAsia" w:eastAsia="宋体"/>
                <w:sz w:val="18"/>
                <w:szCs w:val="18"/>
                <w:lang w:eastAsia="zh-CN"/>
              </w:rPr>
            </w:pPr>
            <w:r>
              <w:rPr>
                <w:rFonts w:hint="eastAsia"/>
                <w:sz w:val="18"/>
                <w:szCs w:val="18"/>
                <w:lang w:val="en-US" w:eastAsia="zh-CN"/>
              </w:rPr>
              <w:t>标段</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rFonts w:hint="eastAsia" w:eastAsia="宋体"/>
                <w:sz w:val="18"/>
                <w:szCs w:val="18"/>
                <w:lang w:eastAsia="zh-CN"/>
              </w:rPr>
            </w:pPr>
            <w:r>
              <w:rPr>
                <w:rFonts w:hint="eastAsia"/>
                <w:sz w:val="18"/>
                <w:szCs w:val="18"/>
                <w:lang w:val="en-US" w:eastAsia="zh-CN"/>
              </w:rPr>
              <w:t>一年</w:t>
            </w:r>
            <w:r>
              <w:rPr>
                <w:rFonts w:hint="eastAsia"/>
                <w:sz w:val="18"/>
                <w:szCs w:val="18"/>
              </w:rPr>
              <w:t>理论</w:t>
            </w:r>
            <w:r>
              <w:rPr>
                <w:rFonts w:hint="eastAsia"/>
                <w:sz w:val="18"/>
                <w:szCs w:val="18"/>
                <w:lang w:val="en-US" w:eastAsia="zh-CN"/>
              </w:rPr>
              <w:t>使用</w:t>
            </w:r>
            <w:r>
              <w:rPr>
                <w:rFonts w:hint="eastAsia"/>
                <w:sz w:val="18"/>
                <w:szCs w:val="18"/>
              </w:rPr>
              <w:t>数量</w:t>
            </w:r>
            <w:r>
              <w:rPr>
                <w:rFonts w:hint="eastAsia"/>
                <w:sz w:val="18"/>
                <w:szCs w:val="18"/>
                <w:lang w:eastAsia="zh-CN"/>
              </w:rPr>
              <w:t>（</w:t>
            </w:r>
            <w:r>
              <w:rPr>
                <w:rFonts w:hint="eastAsia"/>
                <w:sz w:val="18"/>
                <w:szCs w:val="18"/>
                <w:lang w:val="en-US" w:eastAsia="zh-CN"/>
              </w:rPr>
              <w:t>吨</w:t>
            </w:r>
            <w:r>
              <w:rPr>
                <w:rFonts w:hint="eastAsia"/>
                <w:sz w:val="18"/>
                <w:szCs w:val="18"/>
                <w:lang w:eastAsia="zh-CN"/>
              </w:rPr>
              <w:t>）</w:t>
            </w:r>
          </w:p>
        </w:tc>
        <w:tc>
          <w:tcPr>
            <w:tcW w:w="2228" w:type="pct"/>
            <w:vAlign w:val="center"/>
          </w:tcPr>
          <w:p>
            <w:pPr>
              <w:jc w:val="center"/>
              <w:rPr>
                <w:sz w:val="18"/>
                <w:szCs w:val="18"/>
              </w:rPr>
            </w:pPr>
            <w:r>
              <w:rPr>
                <w:rFonts w:hint="eastAsia"/>
                <w:sz w:val="18"/>
                <w:szCs w:val="18"/>
              </w:rPr>
              <w:t>含税、含运费报价（元/吨）</w:t>
            </w:r>
          </w:p>
        </w:tc>
        <w:tc>
          <w:tcPr>
            <w:tcW w:w="955"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7"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lang w:val="en-US" w:eastAsia="zh-CN"/>
              </w:rPr>
            </w:pPr>
            <w:r>
              <w:rPr>
                <w:rFonts w:hint="eastAsia" w:ascii="宋体" w:hAnsi="宋体"/>
                <w:b/>
                <w:color w:val="FF0000"/>
                <w:sz w:val="28"/>
                <w:szCs w:val="28"/>
                <w:lang w:val="en-US" w:eastAsia="zh-CN"/>
              </w:rPr>
              <w:t>铸造涂料</w:t>
            </w:r>
          </w:p>
        </w:tc>
        <w:tc>
          <w:tcPr>
            <w:tcW w:w="657" w:type="pct"/>
            <w:vMerge w:val="restart"/>
            <w:vAlign w:val="center"/>
          </w:tcPr>
          <w:p>
            <w:pPr>
              <w:jc w:val="center"/>
              <w:rPr>
                <w:rFonts w:hint="default" w:ascii="宋体" w:hAnsi="宋体" w:cs="Times New Roman"/>
                <w:b/>
                <w:color w:val="FF0000"/>
                <w:sz w:val="24"/>
                <w:szCs w:val="24"/>
                <w:lang w:val="en-US" w:eastAsia="zh-CN"/>
              </w:rPr>
            </w:pPr>
            <w:r>
              <w:rPr>
                <w:rFonts w:hint="eastAsia" w:ascii="宋体" w:hAnsi="宋体" w:cs="Times New Roman"/>
                <w:b/>
                <w:color w:val="FF0000"/>
                <w:sz w:val="24"/>
                <w:szCs w:val="24"/>
                <w:lang w:val="en-US" w:eastAsia="zh-CN"/>
              </w:rPr>
              <w:t>840</w:t>
            </w:r>
          </w:p>
        </w:tc>
        <w:tc>
          <w:tcPr>
            <w:tcW w:w="2228"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55"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7"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rFonts w:hint="eastAsia" w:ascii="宋体" w:hAnsi="宋体" w:cs="Times New Roman"/>
                <w:b/>
                <w:color w:val="FF0000"/>
                <w:sz w:val="24"/>
                <w:szCs w:val="24"/>
              </w:rPr>
            </w:pPr>
          </w:p>
        </w:tc>
        <w:tc>
          <w:tcPr>
            <w:tcW w:w="2228"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55"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77" w:type="pct"/>
            <w:vMerge w:val="restart"/>
            <w:vAlign w:val="center"/>
          </w:tcPr>
          <w:p>
            <w:pPr>
              <w:jc w:val="center"/>
              <w:rPr>
                <w:rFonts w:hint="eastAsia" w:eastAsia="宋体"/>
                <w:sz w:val="24"/>
                <w:szCs w:val="24"/>
                <w:lang w:val="en-US" w:eastAsia="zh-CN"/>
              </w:rPr>
            </w:pPr>
            <w:r>
              <w:rPr>
                <w:rFonts w:hint="eastAsia"/>
                <w:sz w:val="24"/>
                <w:szCs w:val="24"/>
                <w:lang w:val="en-US" w:eastAsia="zh-CN"/>
              </w:rPr>
              <w:t>2</w:t>
            </w:r>
          </w:p>
        </w:tc>
        <w:tc>
          <w:tcPr>
            <w:tcW w:w="781" w:type="pct"/>
            <w:vMerge w:val="restart"/>
            <w:vAlign w:val="center"/>
          </w:tcPr>
          <w:p>
            <w:pPr>
              <w:jc w:val="center"/>
              <w:rPr>
                <w:rFonts w:hint="eastAsia" w:ascii="宋体" w:hAnsi="宋体" w:cs="Times New Roman"/>
                <w:b/>
                <w:color w:val="FF0000"/>
                <w:sz w:val="24"/>
                <w:szCs w:val="24"/>
              </w:rPr>
            </w:pPr>
            <w:r>
              <w:rPr>
                <w:rFonts w:hint="eastAsia" w:ascii="宋体" w:hAnsi="宋体"/>
                <w:b/>
                <w:color w:val="FF0000"/>
                <w:sz w:val="28"/>
                <w:szCs w:val="28"/>
                <w:lang w:val="en-US" w:eastAsia="zh-CN"/>
              </w:rPr>
              <w:t>电机壳涂料</w:t>
            </w:r>
          </w:p>
        </w:tc>
        <w:tc>
          <w:tcPr>
            <w:tcW w:w="657" w:type="pct"/>
            <w:vMerge w:val="restart"/>
            <w:vAlign w:val="center"/>
          </w:tcPr>
          <w:p>
            <w:pPr>
              <w:jc w:val="center"/>
              <w:rPr>
                <w:rFonts w:hint="default" w:ascii="宋体" w:hAnsi="宋体" w:cs="Times New Roman"/>
                <w:b/>
                <w:color w:val="FF0000"/>
                <w:sz w:val="24"/>
                <w:szCs w:val="24"/>
                <w:lang w:val="en-US" w:eastAsia="zh-CN"/>
              </w:rPr>
            </w:pPr>
            <w:r>
              <w:rPr>
                <w:rFonts w:hint="eastAsia" w:ascii="宋体" w:hAnsi="宋体" w:cs="Times New Roman"/>
                <w:b/>
                <w:color w:val="FF0000"/>
                <w:sz w:val="24"/>
                <w:szCs w:val="24"/>
                <w:lang w:val="en-US" w:eastAsia="zh-CN"/>
              </w:rPr>
              <w:t>60</w:t>
            </w:r>
          </w:p>
        </w:tc>
        <w:tc>
          <w:tcPr>
            <w:tcW w:w="2228" w:type="pct"/>
            <w:vAlign w:val="top"/>
          </w:tcPr>
          <w:p>
            <w:pPr>
              <w:jc w:val="left"/>
              <w:rPr>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 xml:space="preserve">小写：                      </w:t>
            </w:r>
            <w:r>
              <w:rPr>
                <w:rFonts w:hint="eastAsia"/>
                <w:sz w:val="18"/>
                <w:szCs w:val="18"/>
              </w:rPr>
              <w:t>元/吨</w:t>
            </w:r>
          </w:p>
        </w:tc>
        <w:tc>
          <w:tcPr>
            <w:tcW w:w="955"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77" w:type="pct"/>
            <w:vMerge w:val="continue"/>
            <w:vAlign w:val="center"/>
          </w:tcPr>
          <w:p>
            <w:pPr>
              <w:jc w:val="center"/>
              <w:rPr>
                <w:sz w:val="24"/>
                <w:szCs w:val="24"/>
              </w:rPr>
            </w:pPr>
          </w:p>
        </w:tc>
        <w:tc>
          <w:tcPr>
            <w:tcW w:w="781" w:type="pct"/>
            <w:vMerge w:val="continue"/>
            <w:vAlign w:val="center"/>
          </w:tcPr>
          <w:p>
            <w:pPr>
              <w:jc w:val="center"/>
              <w:rPr>
                <w:rFonts w:hint="eastAsia" w:ascii="宋体" w:hAnsi="宋体" w:cs="Times New Roman"/>
                <w:b/>
                <w:color w:val="FF0000"/>
                <w:sz w:val="24"/>
                <w:szCs w:val="24"/>
              </w:rPr>
            </w:pPr>
          </w:p>
        </w:tc>
        <w:tc>
          <w:tcPr>
            <w:tcW w:w="657" w:type="pct"/>
            <w:vMerge w:val="continue"/>
            <w:vAlign w:val="center"/>
          </w:tcPr>
          <w:p>
            <w:pPr>
              <w:jc w:val="center"/>
              <w:rPr>
                <w:rFonts w:hint="eastAsia" w:ascii="宋体" w:hAnsi="宋体" w:cs="Times New Roman"/>
                <w:b/>
                <w:color w:val="FF0000"/>
                <w:sz w:val="24"/>
                <w:szCs w:val="24"/>
              </w:rPr>
            </w:pPr>
          </w:p>
        </w:tc>
        <w:tc>
          <w:tcPr>
            <w:tcW w:w="2228" w:type="pct"/>
            <w:vAlign w:val="top"/>
          </w:tcPr>
          <w:p>
            <w:pPr>
              <w:jc w:val="left"/>
              <w:rPr>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 xml:space="preserve">大写：                      </w:t>
            </w:r>
            <w:r>
              <w:rPr>
                <w:rFonts w:hint="eastAsia"/>
                <w:sz w:val="18"/>
                <w:szCs w:val="18"/>
              </w:rPr>
              <w:t>元/吨</w:t>
            </w:r>
          </w:p>
        </w:tc>
        <w:tc>
          <w:tcPr>
            <w:tcW w:w="955"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spacing w:line="480" w:lineRule="auto"/>
        <w:rPr>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abstractNum w:abstractNumId="9">
    <w:nsid w:val="710BD5B8"/>
    <w:multiLevelType w:val="singleLevel"/>
    <w:tmpl w:val="710BD5B8"/>
    <w:lvl w:ilvl="0" w:tentative="0">
      <w:start w:val="1"/>
      <w:numFmt w:val="decimal"/>
      <w:suff w:val="nothing"/>
      <w:lvlText w:val="%1、"/>
      <w:lvlJc w:val="left"/>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1D44"/>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A77399"/>
    <w:rsid w:val="02C15B80"/>
    <w:rsid w:val="038D2F19"/>
    <w:rsid w:val="043C4162"/>
    <w:rsid w:val="04823B21"/>
    <w:rsid w:val="04933903"/>
    <w:rsid w:val="05325D34"/>
    <w:rsid w:val="053B5FB3"/>
    <w:rsid w:val="05C52E89"/>
    <w:rsid w:val="06CB7169"/>
    <w:rsid w:val="07BA48CA"/>
    <w:rsid w:val="0831406E"/>
    <w:rsid w:val="085B58B3"/>
    <w:rsid w:val="08A96692"/>
    <w:rsid w:val="09023517"/>
    <w:rsid w:val="09813E31"/>
    <w:rsid w:val="0B5E1A54"/>
    <w:rsid w:val="0BFF25BD"/>
    <w:rsid w:val="0CBC295F"/>
    <w:rsid w:val="0CFC1274"/>
    <w:rsid w:val="0DF07D84"/>
    <w:rsid w:val="0E497616"/>
    <w:rsid w:val="0E4C49D6"/>
    <w:rsid w:val="0E5345A5"/>
    <w:rsid w:val="0E842CB1"/>
    <w:rsid w:val="0F0803D8"/>
    <w:rsid w:val="0F347211"/>
    <w:rsid w:val="10CA64E1"/>
    <w:rsid w:val="110928F7"/>
    <w:rsid w:val="11654D47"/>
    <w:rsid w:val="12004C4E"/>
    <w:rsid w:val="135C10D5"/>
    <w:rsid w:val="139F3DA1"/>
    <w:rsid w:val="13B167BE"/>
    <w:rsid w:val="13D576D7"/>
    <w:rsid w:val="154D48F1"/>
    <w:rsid w:val="1601362A"/>
    <w:rsid w:val="16541AFE"/>
    <w:rsid w:val="1694444C"/>
    <w:rsid w:val="17F97F08"/>
    <w:rsid w:val="18560C92"/>
    <w:rsid w:val="18ED4DB4"/>
    <w:rsid w:val="19B16948"/>
    <w:rsid w:val="1A577895"/>
    <w:rsid w:val="1A8A6D05"/>
    <w:rsid w:val="1B572CF1"/>
    <w:rsid w:val="1CCB1E53"/>
    <w:rsid w:val="1D2E11E1"/>
    <w:rsid w:val="1E6A5A2A"/>
    <w:rsid w:val="1E8E57E6"/>
    <w:rsid w:val="1E937D02"/>
    <w:rsid w:val="1F107E3E"/>
    <w:rsid w:val="1F4242F7"/>
    <w:rsid w:val="1F802445"/>
    <w:rsid w:val="205026F2"/>
    <w:rsid w:val="21133B37"/>
    <w:rsid w:val="21534F77"/>
    <w:rsid w:val="21A2160C"/>
    <w:rsid w:val="21E966E6"/>
    <w:rsid w:val="229A132A"/>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4A271F"/>
    <w:rsid w:val="2BBB5AD5"/>
    <w:rsid w:val="2BEF216A"/>
    <w:rsid w:val="2BF10F3E"/>
    <w:rsid w:val="2BF40243"/>
    <w:rsid w:val="2C204052"/>
    <w:rsid w:val="2C480786"/>
    <w:rsid w:val="2C4E01C4"/>
    <w:rsid w:val="2CF31D5E"/>
    <w:rsid w:val="2E3D1B0F"/>
    <w:rsid w:val="2EDD294B"/>
    <w:rsid w:val="3036622A"/>
    <w:rsid w:val="30CA3841"/>
    <w:rsid w:val="3130279D"/>
    <w:rsid w:val="31801978"/>
    <w:rsid w:val="31DF7B93"/>
    <w:rsid w:val="339D246B"/>
    <w:rsid w:val="342060A8"/>
    <w:rsid w:val="34BB556C"/>
    <w:rsid w:val="35212328"/>
    <w:rsid w:val="358603F2"/>
    <w:rsid w:val="35E1644D"/>
    <w:rsid w:val="36A65EF8"/>
    <w:rsid w:val="36FB2C59"/>
    <w:rsid w:val="373827F1"/>
    <w:rsid w:val="379345D1"/>
    <w:rsid w:val="37974BFF"/>
    <w:rsid w:val="37BE23C2"/>
    <w:rsid w:val="387F2F2C"/>
    <w:rsid w:val="38825F91"/>
    <w:rsid w:val="3A3F65BD"/>
    <w:rsid w:val="3A773720"/>
    <w:rsid w:val="3AA26DA4"/>
    <w:rsid w:val="3ACA07AB"/>
    <w:rsid w:val="3B14535E"/>
    <w:rsid w:val="3C456A69"/>
    <w:rsid w:val="3C487023"/>
    <w:rsid w:val="3C887586"/>
    <w:rsid w:val="3CC70055"/>
    <w:rsid w:val="3D5A40AB"/>
    <w:rsid w:val="3D6C2AAA"/>
    <w:rsid w:val="3DB441B2"/>
    <w:rsid w:val="3DCD4C3C"/>
    <w:rsid w:val="3DD2066D"/>
    <w:rsid w:val="3E371640"/>
    <w:rsid w:val="3E3F37C9"/>
    <w:rsid w:val="3EB93F1F"/>
    <w:rsid w:val="3EF869AA"/>
    <w:rsid w:val="3F0B65A3"/>
    <w:rsid w:val="3FC82DB5"/>
    <w:rsid w:val="403E589B"/>
    <w:rsid w:val="404A6AC9"/>
    <w:rsid w:val="4120337A"/>
    <w:rsid w:val="41394D83"/>
    <w:rsid w:val="41A5226D"/>
    <w:rsid w:val="41A706B0"/>
    <w:rsid w:val="41BF02F4"/>
    <w:rsid w:val="422E1FDF"/>
    <w:rsid w:val="423C71D1"/>
    <w:rsid w:val="426213B7"/>
    <w:rsid w:val="42CE1EFE"/>
    <w:rsid w:val="43944C62"/>
    <w:rsid w:val="4500284B"/>
    <w:rsid w:val="45407B03"/>
    <w:rsid w:val="45C004AA"/>
    <w:rsid w:val="467968BC"/>
    <w:rsid w:val="4705636F"/>
    <w:rsid w:val="47847BD9"/>
    <w:rsid w:val="47AD4330"/>
    <w:rsid w:val="4872233A"/>
    <w:rsid w:val="48E1049E"/>
    <w:rsid w:val="49280B38"/>
    <w:rsid w:val="492C5B3D"/>
    <w:rsid w:val="4B600992"/>
    <w:rsid w:val="4B635392"/>
    <w:rsid w:val="4BA21255"/>
    <w:rsid w:val="4D0B5415"/>
    <w:rsid w:val="4D306F0B"/>
    <w:rsid w:val="4D3C2DFC"/>
    <w:rsid w:val="4DC66F68"/>
    <w:rsid w:val="4F2B02E1"/>
    <w:rsid w:val="4FA21E07"/>
    <w:rsid w:val="514F2EE0"/>
    <w:rsid w:val="51A458AF"/>
    <w:rsid w:val="52E14D30"/>
    <w:rsid w:val="52E54E97"/>
    <w:rsid w:val="52EE0AE7"/>
    <w:rsid w:val="554C057B"/>
    <w:rsid w:val="562E1D47"/>
    <w:rsid w:val="566E6D8E"/>
    <w:rsid w:val="56FF0A43"/>
    <w:rsid w:val="57AC75B3"/>
    <w:rsid w:val="57D705F2"/>
    <w:rsid w:val="5A1770B9"/>
    <w:rsid w:val="5AAF6E02"/>
    <w:rsid w:val="5AEA3AD0"/>
    <w:rsid w:val="5B1A1646"/>
    <w:rsid w:val="5B1D2529"/>
    <w:rsid w:val="5B35349E"/>
    <w:rsid w:val="5BA959B9"/>
    <w:rsid w:val="5C4915E9"/>
    <w:rsid w:val="5CA21D6E"/>
    <w:rsid w:val="5D173705"/>
    <w:rsid w:val="5D1B4B8A"/>
    <w:rsid w:val="5D915ACD"/>
    <w:rsid w:val="5D9D5007"/>
    <w:rsid w:val="5E611270"/>
    <w:rsid w:val="5EB2026E"/>
    <w:rsid w:val="5EE47D82"/>
    <w:rsid w:val="61033D16"/>
    <w:rsid w:val="61C82304"/>
    <w:rsid w:val="625B24D7"/>
    <w:rsid w:val="62CD795C"/>
    <w:rsid w:val="63E65DE6"/>
    <w:rsid w:val="646C4593"/>
    <w:rsid w:val="66EA0C9A"/>
    <w:rsid w:val="66FB3BC1"/>
    <w:rsid w:val="678F7868"/>
    <w:rsid w:val="68985C4A"/>
    <w:rsid w:val="68BB275A"/>
    <w:rsid w:val="695E0A51"/>
    <w:rsid w:val="69D638FE"/>
    <w:rsid w:val="6AE713EB"/>
    <w:rsid w:val="6C7B13C4"/>
    <w:rsid w:val="6CA73029"/>
    <w:rsid w:val="6D027CD6"/>
    <w:rsid w:val="6DCD280C"/>
    <w:rsid w:val="6DD6769A"/>
    <w:rsid w:val="6DD71BCE"/>
    <w:rsid w:val="6E2B1741"/>
    <w:rsid w:val="6E550ED4"/>
    <w:rsid w:val="6EA5652C"/>
    <w:rsid w:val="6ED71557"/>
    <w:rsid w:val="706A3FF6"/>
    <w:rsid w:val="70D03715"/>
    <w:rsid w:val="70E0155E"/>
    <w:rsid w:val="711219DD"/>
    <w:rsid w:val="7186528B"/>
    <w:rsid w:val="71F96DCA"/>
    <w:rsid w:val="72107C5B"/>
    <w:rsid w:val="732D2693"/>
    <w:rsid w:val="7357254E"/>
    <w:rsid w:val="73611393"/>
    <w:rsid w:val="754E4EAA"/>
    <w:rsid w:val="754F1E1A"/>
    <w:rsid w:val="75752CD3"/>
    <w:rsid w:val="761859F6"/>
    <w:rsid w:val="76206BC5"/>
    <w:rsid w:val="778A5616"/>
    <w:rsid w:val="780E1C86"/>
    <w:rsid w:val="79504D2E"/>
    <w:rsid w:val="7956544E"/>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4543</Words>
  <Characters>1457</Characters>
  <Lines>12</Lines>
  <Paragraphs>11</Paragraphs>
  <TotalTime>16</TotalTime>
  <ScaleCrop>false</ScaleCrop>
  <LinksUpToDate>false</LinksUpToDate>
  <CharactersWithSpaces>5989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2021-01-18T01:41:24Z</dcterms:modified>
  <dc:title>招 标 发 布</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