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before="0" w:beforeLines="0" w:after="0" w:afterLines="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烟气分析仪安全改造技术要求</w:t>
      </w:r>
    </w:p>
    <w:p>
      <w:pPr>
        <w:pStyle w:val="7"/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>.</w:t>
      </w:r>
      <w:r>
        <w:rPr>
          <w:rFonts w:hint="eastAsia" w:ascii="宋体" w:hAnsi="宋体" w:eastAsia="宋体"/>
          <w:b/>
        </w:rPr>
        <w:t>项目需求分析</w:t>
      </w:r>
    </w:p>
    <w:p>
      <w:pPr>
        <w:pStyle w:val="7"/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eastAsia="宋体"/>
          <w:b/>
          <w:smallCaps/>
        </w:rPr>
      </w:pPr>
      <w:bookmarkStart w:id="0" w:name="_Toc44341043"/>
      <w:r>
        <w:rPr>
          <w:rFonts w:hint="eastAsia" w:ascii="宋体" w:hAnsi="宋体" w:eastAsia="宋体"/>
          <w:b/>
          <w:smallCaps/>
        </w:rPr>
        <w:t>1.1检测工艺目的</w:t>
      </w:r>
      <w:bookmarkEnd w:id="0"/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分析系统通过对转炉蒸发冷出口CO/CO2 ，O2和H2浓度进行连续、实时的监测和记录、分析，从而为自动化炼钢和静电除尘器卸爆控制提供依据。</w:t>
      </w:r>
    </w:p>
    <w:p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根据项目检测点的工况和分析需求，考虑到系统的投资成本和长期运行可靠性，对于</w:t>
      </w:r>
      <w:r>
        <w:rPr>
          <w:rFonts w:hint="eastAsia" w:ascii="宋体" w:hAnsi="宋体"/>
          <w:kern w:val="0"/>
          <w:sz w:val="24"/>
          <w:lang w:val="en-US"/>
        </w:rPr>
        <w:t>转炉蒸发冷器后</w:t>
      </w:r>
      <w:r>
        <w:rPr>
          <w:rFonts w:hint="eastAsia" w:ascii="宋体" w:hAnsi="宋体"/>
          <w:kern w:val="0"/>
          <w:sz w:val="24"/>
          <w:lang w:val="en-US" w:eastAsia="zh-CN"/>
        </w:rPr>
        <w:t>气体在线分析系统中仪表的选型如下（单套）：</w:t>
      </w:r>
    </w:p>
    <w:tbl>
      <w:tblPr>
        <w:tblStyle w:val="4"/>
        <w:tblpPr w:leftFromText="180" w:rightFromText="180" w:vertAnchor="text" w:horzAnchor="page" w:tblpX="1478" w:tblpY="34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31"/>
        <w:gridCol w:w="2030"/>
        <w:gridCol w:w="1210"/>
        <w:gridCol w:w="1130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序号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系统名称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测量组分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仪表选型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测点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激光在线分析仪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</w:rPr>
              <w:t>CO/CO2 (0-100%/0-50%)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/>
              </w:rPr>
              <w:t>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蒸发冷器出口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激光在线分析仪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O2(0-25%)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/>
              </w:rPr>
              <w:t>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蒸发冷器出口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3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/>
              </w:rPr>
            </w:pPr>
            <w:r>
              <w:rPr>
                <w:rFonts w:hint="eastAsia"/>
                <w:b/>
                <w:kern w:val="0"/>
              </w:rPr>
              <w:t>热导式氢分析仪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H2(0-10%)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/>
              </w:rPr>
              <w:t>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</w:rPr>
              <w:t>蒸发冷器出口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预处理系统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CO/CO2，O2，</w:t>
            </w:r>
          </w:p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H2，N2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1套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6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非标取样探头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before="156" w:after="156"/>
        <w:rPr>
          <w:rFonts w:hint="eastAsia" w:ascii="宋体" w:hAnsi="宋体" w:eastAsia="宋体"/>
          <w:b/>
          <w:smallCaps/>
        </w:rPr>
      </w:pPr>
      <w:bookmarkStart w:id="8" w:name="_GoBack"/>
      <w:bookmarkEnd w:id="8"/>
    </w:p>
    <w:p>
      <w:pPr>
        <w:pStyle w:val="7"/>
        <w:numPr>
          <w:ilvl w:val="0"/>
          <w:numId w:val="0"/>
        </w:numPr>
        <w:spacing w:before="156" w:after="156"/>
        <w:rPr>
          <w:rFonts w:hint="eastAsia" w:ascii="宋体" w:hAnsi="宋体" w:eastAsia="宋体"/>
          <w:b/>
          <w:smallCaps/>
        </w:rPr>
      </w:pPr>
      <w:bookmarkStart w:id="1" w:name="_Toc44341044"/>
      <w:r>
        <w:rPr>
          <w:rFonts w:hint="eastAsia" w:ascii="宋体" w:hAnsi="宋体" w:eastAsia="宋体"/>
          <w:b/>
          <w:smallCaps/>
        </w:rPr>
        <w:t>1.2 检测点测量环境</w:t>
      </w:r>
      <w:bookmarkEnd w:id="1"/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</w:t>
      </w:r>
      <w:r>
        <w:rPr>
          <w:rFonts w:hint="eastAsia" w:ascii="宋体" w:hAnsi="宋体"/>
          <w:sz w:val="24"/>
          <w:lang w:eastAsia="zh-CN"/>
        </w:rPr>
        <w:t>参照</w:t>
      </w:r>
      <w:r>
        <w:rPr>
          <w:rFonts w:hint="eastAsia" w:ascii="宋体" w:hAnsi="宋体"/>
          <w:sz w:val="24"/>
        </w:rPr>
        <w:t>客户</w:t>
      </w:r>
      <w:r>
        <w:rPr>
          <w:rFonts w:hint="eastAsia" w:ascii="宋体" w:hAnsi="宋体"/>
          <w:sz w:val="24"/>
          <w:lang w:eastAsia="zh-CN"/>
        </w:rPr>
        <w:t>现场</w:t>
      </w:r>
      <w:r>
        <w:rPr>
          <w:rFonts w:hint="eastAsia" w:ascii="宋体" w:hAnsi="宋体"/>
          <w:sz w:val="24"/>
        </w:rPr>
        <w:t>工况。</w:t>
      </w:r>
    </w:p>
    <w:p>
      <w:pPr>
        <w:pStyle w:val="7"/>
        <w:numPr>
          <w:ilvl w:val="0"/>
          <w:numId w:val="0"/>
        </w:numPr>
        <w:spacing w:before="156" w:after="156"/>
        <w:rPr>
          <w:rFonts w:hint="eastAsia" w:ascii="宋体" w:hAnsi="宋体" w:eastAsia="宋体"/>
          <w:b/>
          <w:smallCaps/>
        </w:rPr>
      </w:pPr>
      <w:bookmarkStart w:id="2" w:name="_Toc44341045"/>
      <w:r>
        <w:rPr>
          <w:rFonts w:hint="eastAsia" w:ascii="宋体" w:hAnsi="宋体" w:eastAsia="宋体"/>
          <w:b/>
          <w:smallCaps/>
        </w:rPr>
        <w:t>1.3 关键需求分析</w:t>
      </w:r>
      <w:bookmarkEnd w:id="2"/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根据工况和工艺特点，为了达到最佳的性价比，该系统设计应满足以下关键需求： </w:t>
      </w:r>
    </w:p>
    <w:p>
      <w:pPr>
        <w:pStyle w:val="2"/>
        <w:spacing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fldChar w:fldCharType="begin"/>
      </w:r>
      <w:r>
        <w:rPr>
          <w:rFonts w:hint="eastAsia" w:ascii="宋体" w:hAnsi="宋体"/>
          <w:b/>
          <w:sz w:val="24"/>
        </w:rPr>
        <w:instrText xml:space="preserve"> eq \o\ac(</w:instrText>
      </w:r>
      <w:r>
        <w:rPr>
          <w:rFonts w:hint="eastAsia" w:ascii="宋体" w:hAnsi="宋体"/>
          <w:b/>
          <w:position w:val="-4"/>
          <w:sz w:val="24"/>
        </w:rPr>
        <w:instrText xml:space="preserve">○</w:instrText>
      </w:r>
      <w:r>
        <w:rPr>
          <w:rFonts w:hint="eastAsia" w:ascii="宋体" w:hAnsi="宋体"/>
          <w:b/>
          <w:sz w:val="24"/>
        </w:rPr>
        <w:instrText xml:space="preserve">,1)</w:instrText>
      </w:r>
      <w:r>
        <w:rPr>
          <w:rFonts w:hint="eastAsia" w:ascii="宋体" w:hAnsi="宋体"/>
          <w:b/>
          <w:sz w:val="24"/>
        </w:rPr>
        <w:fldChar w:fldCharType="end"/>
      </w:r>
      <w:r>
        <w:rPr>
          <w:rFonts w:hint="eastAsia" w:ascii="宋体" w:hAnsi="宋体"/>
          <w:b/>
          <w:sz w:val="24"/>
        </w:rPr>
        <w:t>系统的稳定性和可靠性</w:t>
      </w:r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分析系统运行应稳定可靠，预处理系统简单，使用寿命长。而本设计采用两种气体分析单元相互“并联”，使得单个故障只会影响单个气体的测量，而不会影响整个气分析系统的运行。</w:t>
      </w:r>
    </w:p>
    <w:p>
      <w:pPr>
        <w:pStyle w:val="2"/>
        <w:spacing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②系统长期测量精度</w:t>
      </w:r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长期测量精度关系着系统使用效果，激光在线气体分析系统在位安装测量，保证了系统测量的精确性，也反证其长期测量精度。</w:t>
      </w:r>
    </w:p>
    <w:p>
      <w:pPr>
        <w:pStyle w:val="2"/>
        <w:spacing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③系统响应速度</w:t>
      </w:r>
    </w:p>
    <w:p>
      <w:pPr>
        <w:pStyle w:val="2"/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系统响应速度越快，对安全报警的作用就越大，越能发挥系统的作用。</w:t>
      </w:r>
    </w:p>
    <w:p>
      <w:pPr>
        <w:pStyle w:val="2"/>
        <w:spacing w:line="360" w:lineRule="auto"/>
        <w:ind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④ 系统维护标定工作量和运行费用</w:t>
      </w:r>
    </w:p>
    <w:p>
      <w:pPr>
        <w:pStyle w:val="2"/>
        <w:spacing w:line="360" w:lineRule="auto"/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该系统的设计应便于维护，维护工作量少，便于操作，易耗器件少，运行费用低。</w:t>
      </w:r>
      <w:r>
        <w:rPr>
          <w:rFonts w:hint="eastAsia" w:ascii="宋体" w:hAnsi="宋体"/>
          <w:szCs w:val="21"/>
        </w:rPr>
        <w:t xml:space="preserve"> </w:t>
      </w:r>
    </w:p>
    <w:p>
      <w:pPr>
        <w:pStyle w:val="2"/>
        <w:spacing w:line="360" w:lineRule="auto"/>
        <w:rPr>
          <w:rFonts w:hint="eastAsia" w:ascii="宋体" w:hAnsi="宋体"/>
          <w:szCs w:val="21"/>
        </w:rPr>
      </w:pPr>
    </w:p>
    <w:p>
      <w:pPr>
        <w:pStyle w:val="7"/>
        <w:numPr>
          <w:ilvl w:val="0"/>
          <w:numId w:val="0"/>
        </w:numPr>
        <w:spacing w:before="156" w:after="156"/>
        <w:rPr>
          <w:rFonts w:hint="eastAsia" w:ascii="宋体" w:hAnsi="宋体" w:eastAsia="宋体"/>
          <w:b/>
          <w:szCs w:val="24"/>
        </w:rPr>
      </w:pPr>
      <w:bookmarkStart w:id="3" w:name="_Toc44341046"/>
      <w:r>
        <w:rPr>
          <w:rFonts w:hint="eastAsia" w:ascii="宋体" w:hAnsi="宋体" w:eastAsia="宋体"/>
          <w:b/>
          <w:szCs w:val="24"/>
        </w:rPr>
        <w:t>2.</w:t>
      </w:r>
      <w:r>
        <w:rPr>
          <w:rFonts w:hint="eastAsia" w:ascii="宋体" w:hAnsi="宋体" w:eastAsia="宋体"/>
          <w:b/>
          <w:smallCaps/>
          <w:szCs w:val="24"/>
        </w:rPr>
        <w:t>系统方案设计</w:t>
      </w:r>
      <w:bookmarkEnd w:id="3"/>
    </w:p>
    <w:p>
      <w:pPr>
        <w:pStyle w:val="7"/>
        <w:numPr>
          <w:ilvl w:val="0"/>
          <w:numId w:val="0"/>
        </w:numPr>
        <w:spacing w:before="156" w:after="156"/>
        <w:rPr>
          <w:rFonts w:hint="eastAsia" w:ascii="宋体" w:hAnsi="宋体" w:eastAsia="宋体"/>
          <w:b/>
          <w:szCs w:val="24"/>
        </w:rPr>
      </w:pPr>
      <w:bookmarkStart w:id="4" w:name="_Toc44341047"/>
      <w:r>
        <w:rPr>
          <w:rFonts w:hint="eastAsia" w:ascii="宋体" w:hAnsi="宋体" w:eastAsia="宋体"/>
          <w:b/>
          <w:szCs w:val="24"/>
        </w:rPr>
        <w:t>2.1系统设计思路</w:t>
      </w:r>
      <w:bookmarkEnd w:id="4"/>
    </w:p>
    <w:p>
      <w:pPr>
        <w:pStyle w:val="3"/>
        <w:adjustRightInd/>
        <w:spacing w:line="360" w:lineRule="auto"/>
        <w:ind w:left="-61" w:leftChars="-29" w:firstLine="480" w:firstLineChars="200"/>
        <w:jc w:val="both"/>
        <w:textAlignment w:val="auto"/>
        <w:rPr>
          <w:rFonts w:hint="eastAsia" w:ascii="宋体" w:hAnsi="宋体" w:eastAsia="宋体"/>
          <w:b w:val="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</w:rPr>
        <w:t>根据关键需求分析，我公司方案设计思路如下：</w:t>
      </w:r>
    </w:p>
    <w:p>
      <w:pPr>
        <w:pStyle w:val="3"/>
        <w:adjustRightInd/>
        <w:spacing w:line="360" w:lineRule="auto"/>
        <w:ind w:left="-61" w:leftChars="-29" w:firstLine="480" w:firstLineChars="200"/>
        <w:jc w:val="both"/>
        <w:textAlignment w:val="auto"/>
        <w:rPr>
          <w:rFonts w:hint="eastAsia" w:ascii="宋体" w:hAnsi="宋体" w:eastAsia="宋体"/>
          <w:b w:val="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</w:rPr>
        <w:drawing>
          <wp:inline distT="0" distB="0" distL="0" distR="0">
            <wp:extent cx="4791710" cy="2216785"/>
            <wp:effectExtent l="0" t="0" r="8890" b="0"/>
            <wp:docPr id="1" name="图片 1" descr="C:\Users\13219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3219\Desktop\图片1.png图片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numPr>
          <w:ilvl w:val="1"/>
          <w:numId w:val="2"/>
        </w:numPr>
        <w:spacing w:line="360" w:lineRule="auto"/>
        <w:jc w:val="left"/>
        <w:rPr>
          <w:rFonts w:hint="eastAsia" w:ascii="宋体" w:hAnsi="宋体"/>
          <w:sz w:val="24"/>
        </w:rPr>
      </w:pPr>
      <w:bookmarkStart w:id="5" w:name="OLE_LINK2"/>
      <w:bookmarkStart w:id="6" w:name="OLE_LINK1"/>
      <w:r>
        <w:rPr>
          <w:rFonts w:hint="eastAsia" w:ascii="宋体" w:hAnsi="宋体" w:cs="宋体"/>
          <w:color w:val="000000"/>
          <w:kern w:val="0"/>
          <w:sz w:val="24"/>
        </w:rPr>
        <w:t>分析</w:t>
      </w:r>
      <w:r>
        <w:rPr>
          <w:rFonts w:hint="eastAsia" w:ascii="宋体" w:hAnsi="宋体"/>
          <w:sz w:val="24"/>
        </w:rPr>
        <w:t>系统采用取样测量方式，CO/CO2和O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气体分析仪采用半导体激光分析仪，H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气体分析仪采用热导氢分析仪。预处理系统设计成（通过PLC自动控制）系统实现24小时连续测量。后级预处理系统</w:t>
      </w:r>
      <w:r>
        <w:rPr>
          <w:rFonts w:hint="eastAsia"/>
          <w:sz w:val="24"/>
        </w:rPr>
        <w:t>采样</w:t>
      </w:r>
      <w:r>
        <w:rPr>
          <w:rFonts w:hint="eastAsia" w:ascii="宋体" w:hAnsi="宋体"/>
          <w:sz w:val="24"/>
        </w:rPr>
        <w:t>探头和取样管采用电伴热。CO/CO2，O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和H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分析仪表集成于机柜内。依据工况及工艺要求，现场需提供高纯氮气作为预处理系统反吹气源。</w:t>
      </w:r>
    </w:p>
    <w:p>
      <w:pPr>
        <w:widowControl/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技术特点：</w:t>
      </w:r>
    </w:p>
    <w:p>
      <w:pPr>
        <w:widowControl/>
        <w:numPr>
          <w:ilvl w:val="0"/>
          <w:numId w:val="1"/>
        </w:numPr>
        <w:tabs>
          <w:tab w:val="clear" w:pos="312"/>
        </w:tabs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探头反吹采用了</w:t>
      </w:r>
      <w:bookmarkStart w:id="7" w:name="OLE_LINK3"/>
      <w:r>
        <w:rPr>
          <w:rFonts w:hint="eastAsia" w:ascii="宋体" w:hAnsi="宋体"/>
          <w:sz w:val="24"/>
        </w:rPr>
        <w:t>“空气炮”技术</w:t>
      </w:r>
      <w:bookmarkEnd w:id="7"/>
      <w:r>
        <w:rPr>
          <w:rFonts w:hint="eastAsia" w:ascii="宋体" w:hAnsi="宋体"/>
          <w:sz w:val="24"/>
        </w:rPr>
        <w:t>，防止大粉尘堵塞取样管路和污染测量视窗；</w:t>
      </w:r>
    </w:p>
    <w:p>
      <w:pPr>
        <w:widowControl/>
        <w:numPr>
          <w:ilvl w:val="0"/>
          <w:numId w:val="1"/>
        </w:numPr>
        <w:tabs>
          <w:tab w:val="clear" w:pos="312"/>
        </w:tabs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采用取样管路伴热技术，确保水分不冷凝而堵塞管路；</w:t>
      </w:r>
    </w:p>
    <w:bookmarkEnd w:id="5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A658241"/>
    <w:multiLevelType w:val="singleLevel"/>
    <w:tmpl w:val="5A658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79"/>
    <w:rsid w:val="0007154F"/>
    <w:rsid w:val="00291D5B"/>
    <w:rsid w:val="00322879"/>
    <w:rsid w:val="41197B74"/>
    <w:rsid w:val="45BF3C2C"/>
    <w:rsid w:val="49B6022A"/>
    <w:rsid w:val="4FB40908"/>
    <w:rsid w:val="5EF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link w:val="9"/>
    <w:qFormat/>
    <w:uiPriority w:val="0"/>
    <w:pPr>
      <w:adjustRightInd w:val="0"/>
      <w:spacing w:line="540" w:lineRule="exact"/>
      <w:jc w:val="center"/>
      <w:textAlignment w:val="baseline"/>
    </w:pPr>
    <w:rPr>
      <w:rFonts w:ascii="华文中宋" w:eastAsia="华文中宋"/>
      <w:b/>
      <w:kern w:val="0"/>
      <w:sz w:val="44"/>
      <w:szCs w:val="44"/>
    </w:rPr>
  </w:style>
  <w:style w:type="character" w:customStyle="1" w:styleId="6">
    <w:name w:val="章标题 Char"/>
    <w:link w:val="7"/>
    <w:qFormat/>
    <w:uiPriority w:val="0"/>
    <w:rPr>
      <w:rFonts w:ascii="黑体" w:eastAsia="黑体"/>
      <w:sz w:val="24"/>
    </w:rPr>
  </w:style>
  <w:style w:type="paragraph" w:customStyle="1" w:styleId="7">
    <w:name w:val="章标题"/>
    <w:next w:val="8"/>
    <w:link w:val="6"/>
    <w:qFormat/>
    <w:uiPriority w:val="0"/>
    <w:pPr>
      <w:numPr>
        <w:ilvl w:val="1"/>
        <w:numId w:val="1"/>
      </w:numPr>
      <w:tabs>
        <w:tab w:val="left" w:pos="312"/>
      </w:tabs>
      <w:spacing w:before="50" w:beforeLines="50" w:after="50" w:afterLines="50"/>
      <w:outlineLvl w:val="1"/>
    </w:pPr>
    <w:rPr>
      <w:rFonts w:ascii="黑体" w:eastAsia="黑体" w:hAnsiTheme="minorHAnsi" w:cstheme="minorBidi"/>
      <w:kern w:val="2"/>
      <w:sz w:val="24"/>
      <w:szCs w:val="22"/>
      <w:lang w:val="en-US" w:eastAsia="zh-CN" w:bidi="ar-SA"/>
    </w:rPr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正文文本 字符"/>
    <w:basedOn w:val="5"/>
    <w:link w:val="3"/>
    <w:qFormat/>
    <w:uiPriority w:val="0"/>
    <w:rPr>
      <w:rFonts w:ascii="华文中宋" w:hAnsi="Times New Roman" w:eastAsia="华文中宋" w:cs="Times New Roman"/>
      <w:b/>
      <w:kern w:val="0"/>
      <w:sz w:val="44"/>
      <w:szCs w:val="44"/>
    </w:rPr>
  </w:style>
  <w:style w:type="paragraph" w:customStyle="1" w:styleId="10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890</Characters>
  <Lines>7</Lines>
  <Paragraphs>2</Paragraphs>
  <TotalTime>12</TotalTime>
  <ScaleCrop>false</ScaleCrop>
  <LinksUpToDate>false</LinksUpToDate>
  <CharactersWithSpaces>1044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2021-01-25T05:33:00Z</dcterms:created>
  <dc:creator>QQ76499657@outlook.com</dc:creator>
  <cp:lastModifiedBy>Administrator</cp:lastModifiedBy>
  <dcterms:modified xsi:type="dcterms:W3CDTF">2021-01-27T01:16:00Z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