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</w:rPr>
        <w:t>芜湖新兴铸管有限责任公司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22"/>
        </w:rPr>
      </w:pPr>
    </w:p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炼铁部高炉矿槽振动筛</w:t>
      </w:r>
    </w:p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密封改造项目</w:t>
      </w:r>
    </w:p>
    <w:p>
      <w:pPr>
        <w:spacing w:line="48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right="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48"/>
        </w:rPr>
      </w:pPr>
    </w:p>
    <w:p>
      <w:pPr>
        <w:spacing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4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技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术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规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格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书</w:t>
      </w:r>
    </w:p>
    <w:p>
      <w:pPr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-210" w:leftChars="-10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编制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：     审核：     会签：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项目负责：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批准：</w:t>
      </w:r>
      <w:bookmarkStart w:id="0" w:name="OLE_LINK2"/>
      <w:bookmarkEnd w:id="0"/>
      <w:bookmarkStart w:id="1" w:name="OLE_LINK1"/>
      <w:bookmarkEnd w:id="1"/>
      <w:bookmarkStart w:id="2" w:name="OLE_LINK3"/>
      <w:bookmarkEnd w:id="2"/>
    </w:p>
    <w:p>
      <w:pPr>
        <w:tabs>
          <w:tab w:val="left" w:pos="2992"/>
          <w:tab w:val="center" w:pos="4214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ab/>
      </w:r>
    </w:p>
    <w:p>
      <w:pPr>
        <w:tabs>
          <w:tab w:val="left" w:pos="2992"/>
          <w:tab w:val="center" w:pos="4214"/>
        </w:tabs>
        <w:spacing w:line="360" w:lineRule="auto"/>
        <w:jc w:val="left"/>
      </w:pP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 xml:space="preserve"> 2021</w:t>
      </w:r>
      <w:r>
        <w:rPr>
          <w:rFonts w:hint="eastAsia" w:ascii="宋体" w:hAnsi="宋体" w:eastAsia="宋体" w:cs="宋体"/>
          <w:b/>
          <w:bCs/>
          <w:color w:val="auto"/>
          <w:sz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>2月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因高炉矿槽筛子密封效果不佳，达不到超低标注排放，现矿筛进行密封改造处理。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二、招标内容</w:t>
      </w:r>
    </w:p>
    <w:tbl>
      <w:tblPr>
        <w:tblStyle w:val="2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339"/>
        <w:gridCol w:w="690"/>
        <w:gridCol w:w="720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招标项目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单位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振</w:t>
            </w:r>
            <w:r>
              <w:rPr>
                <w:rFonts w:hint="eastAsia" w:ascii="宋体" w:hAnsi="宋体" w:cs="宋体"/>
                <w:lang w:val="en-US" w:eastAsia="zh-CN"/>
              </w:rPr>
              <w:t>动筛密封改造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bookmarkStart w:id="5" w:name="_GoBack"/>
            <w:bookmarkEnd w:id="5"/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套</w:t>
            </w:r>
          </w:p>
        </w:tc>
        <w:tc>
          <w:tcPr>
            <w:tcW w:w="4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设备的设计、供货、</w:t>
            </w:r>
            <w:r>
              <w:rPr>
                <w:rFonts w:hint="eastAsia" w:ascii="宋体" w:hAnsi="宋体" w:cs="宋体"/>
                <w:lang w:eastAsia="zh-CN"/>
              </w:rPr>
              <w:t>指导安装和</w:t>
            </w:r>
            <w:r>
              <w:rPr>
                <w:rFonts w:hint="eastAsia" w:ascii="宋体" w:hAnsi="宋体" w:cs="宋体"/>
              </w:rPr>
              <w:t>调试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宋体" w:hAnsi="Arial" w:cs="宋体"/>
          <w:b/>
          <w:bCs/>
          <w:sz w:val="28"/>
          <w:szCs w:val="28"/>
          <w:lang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eastAsia="zh-CN"/>
        </w:rPr>
        <w:t>设计条件及要求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Arial" w:cs="宋体"/>
          <w:b/>
          <w:bCs/>
          <w:sz w:val="24"/>
          <w:szCs w:val="24"/>
          <w:lang w:eastAsia="zh-CN"/>
        </w:rPr>
      </w:pPr>
      <w:r>
        <w:rPr>
          <w:rFonts w:hint="eastAsia" w:ascii="宋体" w:hAnsi="Arial" w:cs="宋体"/>
          <w:b/>
          <w:bCs/>
          <w:sz w:val="24"/>
          <w:szCs w:val="24"/>
          <w:lang w:eastAsia="zh-CN"/>
        </w:rPr>
        <w:t>设计条件参数</w:t>
      </w:r>
    </w:p>
    <w:p>
      <w:pPr>
        <w:numPr>
          <w:ilvl w:val="0"/>
          <w:numId w:val="3"/>
        </w:numPr>
        <w:spacing w:line="500" w:lineRule="exact"/>
        <w:rPr>
          <w:rFonts w:hint="eastAsia" w:ascii="宋体" w:eastAsia="宋体" w:cs="宋体"/>
          <w:bCs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1 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物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料：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焦炭、烧结矿、块矿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color w:val="FF0000"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1.2 筛分效率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：</w:t>
      </w:r>
      <w:r>
        <w:rPr>
          <w:rFonts w:hint="eastAsia" w:ascii="宋体" w:cs="宋体"/>
          <w:bCs/>
          <w:color w:val="auto"/>
          <w:sz w:val="24"/>
          <w:szCs w:val="24"/>
          <w:lang w:val="en-US" w:eastAsia="zh-CN" w:bidi="ar-SA"/>
        </w:rPr>
        <w:t>85</w:t>
      </w:r>
      <w:r>
        <w:rPr>
          <w:rFonts w:hint="eastAsia" w:ascii="宋体" w:eastAsia="宋体" w:cs="宋体"/>
          <w:bCs/>
          <w:color w:val="auto"/>
          <w:sz w:val="24"/>
          <w:szCs w:val="24"/>
          <w:lang w:bidi="ar-SA"/>
        </w:rPr>
        <w:t xml:space="preserve">% </w:t>
      </w:r>
      <w:r>
        <w:rPr>
          <w:rFonts w:hint="eastAsia" w:ascii="宋体" w:eastAsia="宋体" w:cs="宋体"/>
          <w:bCs/>
          <w:color w:val="FF0000"/>
          <w:sz w:val="24"/>
          <w:szCs w:val="24"/>
          <w:lang w:bidi="ar-SA"/>
        </w:rPr>
        <w:t xml:space="preserve"> 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1.3 处理能力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：</w:t>
      </w:r>
      <w:r>
        <w:rPr>
          <w:rFonts w:hint="eastAsia" w:ascii="宋体" w:cs="宋体"/>
          <w:bCs/>
          <w:sz w:val="24"/>
          <w:szCs w:val="24"/>
          <w:lang w:eastAsia="zh-CN" w:bidi="ar-SA"/>
        </w:rPr>
        <w:t>烧结矿筛</w:t>
      </w:r>
      <w:r>
        <w:rPr>
          <w:rFonts w:hint="eastAsia" w:ascii="宋体" w:cs="宋体"/>
          <w:bCs/>
          <w:color w:val="auto"/>
          <w:sz w:val="24"/>
          <w:szCs w:val="24"/>
          <w:lang w:val="en-US" w:eastAsia="zh-CN" w:bidi="ar-SA"/>
        </w:rPr>
        <w:t>300T</w:t>
      </w:r>
      <w:r>
        <w:rPr>
          <w:rFonts w:hint="eastAsia" w:ascii="宋体" w:eastAsia="宋体" w:cs="宋体"/>
          <w:bCs/>
          <w:color w:val="auto"/>
          <w:sz w:val="24"/>
          <w:szCs w:val="24"/>
          <w:lang w:bidi="ar-SA"/>
        </w:rPr>
        <w:t>/</w:t>
      </w:r>
      <w:r>
        <w:rPr>
          <w:rFonts w:hint="eastAsia" w:ascii="宋体" w:eastAsia="宋体" w:cs="宋体"/>
          <w:bCs/>
          <w:color w:val="auto"/>
          <w:sz w:val="24"/>
          <w:szCs w:val="24"/>
          <w:lang w:val="en-US" w:eastAsia="zh-CN" w:bidi="ar-SA"/>
        </w:rPr>
        <w:t>h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1.4 运行方式：间断运行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val="en-US" w:eastAsia="zh-CN"/>
        </w:rPr>
        <w:t>四、工艺技术要求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color w:val="auto"/>
          <w:kern w:val="2"/>
          <w:sz w:val="24"/>
          <w:szCs w:val="20"/>
          <w:lang w:val="en-US" w:eastAsia="zh-CN" w:bidi="ar-SA"/>
        </w:rPr>
        <w:t xml:space="preserve">  </w:t>
      </w:r>
      <w:r>
        <w:rPr>
          <w:rFonts w:hint="eastAsia" w:ascii="宋体" w:hAnsi="宋体" w:eastAsia="宋体" w:cs="Arial"/>
          <w:b/>
          <w:color w:val="auto"/>
          <w:kern w:val="2"/>
          <w:sz w:val="24"/>
          <w:szCs w:val="20"/>
          <w:lang w:val="en-US" w:eastAsia="zh-CN" w:bidi="ar-SA"/>
        </w:rPr>
        <w:t>1、工艺要求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投标方需到现场进行仔细的勘察，</w:t>
      </w:r>
      <w:r>
        <w:rPr>
          <w:rFonts w:hint="eastAsia" w:ascii="宋体" w:hAnsi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根据现场设备进行测绘，</w:t>
      </w:r>
      <w:r>
        <w:rPr>
          <w:rFonts w:hint="eastAsia" w:ascii="宋体" w:hAnsi="宋体"/>
          <w:sz w:val="24"/>
          <w:szCs w:val="24"/>
          <w:lang w:val="en-US" w:eastAsia="zh-CN"/>
        </w:rPr>
        <w:t>进行方案技术交流，并提供工艺方案图。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振动筛为振动设备，在改造时，不得因为改造方案影响设备本体的振幅，影响筛分效率，对设备本体造成损坏。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改造后不得改变设备振幅，影响筛分效率</w:t>
      </w:r>
      <w:r>
        <w:rPr>
          <w:rFonts w:hint="eastAsia" w:ascii="宋体" w:hAnsi="宋体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不能影响设备正常运行和维护，方便更换设备备件。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要求根据现场设备实际状况，保证设备各个进出口和开放点密封良好，不得有逸尘现象，</w:t>
      </w:r>
      <w:r>
        <w:rPr>
          <w:rFonts w:hint="eastAsia" w:ascii="宋体" w:hAnsi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各运行岗位除尘后整体环境达到无肉眼可见粉尘。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本设备包括：</w:t>
      </w:r>
      <w:r>
        <w:rPr>
          <w:rFonts w:hint="eastAsia"/>
          <w:szCs w:val="21"/>
        </w:rPr>
        <w:t>闸门密封组件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给料机密封组件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布料斗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防尘罩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筛箱返矿扣密封组件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集灰斗出口密封组件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筛箱成品口密封组件</w:t>
      </w:r>
      <w:r>
        <w:rPr>
          <w:rFonts w:hint="eastAsia"/>
          <w:szCs w:val="21"/>
          <w:lang w:eastAsia="zh-CN"/>
        </w:rPr>
        <w:t>等附件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color w:val="auto"/>
          <w:kern w:val="2"/>
          <w:sz w:val="24"/>
          <w:szCs w:val="20"/>
          <w:lang w:val="en-US" w:eastAsia="zh-CN" w:bidi="ar-SA"/>
        </w:rPr>
        <w:t>2</w:t>
      </w: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、工艺流程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物料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：烧结矿仓→振动筛→合格品、返粉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3、密封要求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宋体" w:hAnsi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    对整个筛分系统全密封，无肉眼可见扬尘。</w:t>
      </w:r>
    </w:p>
    <w:p>
      <w:pPr>
        <w:widowControl w:val="0"/>
        <w:numPr>
          <w:ilvl w:val="0"/>
          <w:numId w:val="1"/>
        </w:numPr>
        <w:wordWrap/>
        <w:snapToGrid/>
        <w:spacing w:before="0" w:beforeLines="0" w:after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Arial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val="en-US" w:eastAsia="zh-CN"/>
        </w:rPr>
        <w:t>设备主要结构及要求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所有设备部件装配方式均采用法兰螺栓紧固连接方式，连接处配有橡胶密封垫片。如有特殊位置不可实现，提前和业主沟通共同商定。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ind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1、布料斗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材质：</w:t>
      </w:r>
      <w:r>
        <w:rPr>
          <w:rFonts w:hint="eastAsia" w:ascii="宋体" w:hAnsi="宋体" w:eastAsia="宋体" w:cs="宋体"/>
          <w:sz w:val="24"/>
        </w:rPr>
        <w:t>Q345B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壁厚度：10mm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Times New Roman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布料斗内要贴陶瓷衬板</w:t>
      </w:r>
      <w:r>
        <w:rPr>
          <w:rFonts w:hint="eastAsia" w:ascii="宋体" w:hAnsi="宋体"/>
          <w:b/>
          <w:bCs/>
          <w:sz w:val="24"/>
          <w:lang w:val="en-US" w:eastAsia="zh-CN"/>
        </w:rPr>
        <w:t>，</w:t>
      </w:r>
      <w:r>
        <w:rPr>
          <w:rFonts w:hint="eastAsia" w:ascii="宋体" w:hAnsi="Times New Roman" w:cs="宋体"/>
          <w:bCs/>
          <w:sz w:val="24"/>
          <w:szCs w:val="24"/>
          <w:lang w:val="en-US" w:eastAsia="zh-CN" w:bidi="ar-SA"/>
        </w:rPr>
        <w:t>厚度</w:t>
      </w:r>
      <w:r>
        <w:rPr>
          <w:rFonts w:hint="eastAsia" w:ascii="宋体" w:hAnsi="Times New Roman" w:cs="宋体"/>
          <w:bCs/>
          <w:color w:val="auto"/>
          <w:sz w:val="24"/>
          <w:szCs w:val="24"/>
          <w:lang w:val="en-US" w:eastAsia="zh-CN" w:bidi="ar-SA"/>
        </w:rPr>
        <w:t>：</w:t>
      </w:r>
      <w:r>
        <w:rPr>
          <w:rFonts w:hint="eastAsia" w:ascii="宋体" w:cs="宋体"/>
          <w:bCs/>
          <w:color w:val="auto"/>
          <w:sz w:val="24"/>
          <w:szCs w:val="24"/>
          <w:lang w:val="en-US" w:eastAsia="zh-CN" w:bidi="ar-SA"/>
        </w:rPr>
        <w:t>15</w:t>
      </w:r>
      <w:r>
        <w:rPr>
          <w:rFonts w:hint="eastAsia" w:ascii="宋体" w:hAnsi="Times New Roman" w:cs="宋体"/>
          <w:bCs/>
          <w:color w:val="auto"/>
          <w:sz w:val="24"/>
          <w:szCs w:val="24"/>
          <w:lang w:val="en-US" w:eastAsia="zh-CN" w:bidi="ar-SA"/>
        </w:rPr>
        <w:t>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基本尺寸为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1100x1640x370mm。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cs="宋体"/>
          <w:b/>
          <w:bCs w:val="0"/>
          <w:sz w:val="24"/>
          <w:szCs w:val="24"/>
          <w:lang w:val="en-US" w:eastAsia="zh-CN" w:bidi="ar-SA"/>
        </w:rPr>
      </w:pPr>
      <w:r>
        <w:rPr>
          <w:rFonts w:hint="eastAsia" w:ascii="宋体" w:cs="宋体"/>
          <w:b/>
          <w:bCs w:val="0"/>
          <w:sz w:val="24"/>
          <w:szCs w:val="24"/>
          <w:lang w:val="en-US" w:eastAsia="zh-CN" w:bidi="ar-SA"/>
        </w:rPr>
        <w:t>除尘罩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材质：Q235,厚度厂家自行设计，要求和筛体之间接触处增加密封垫片，保证密封良好，不能因护罩的重量影响设备性能。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基本尺寸为3120x1640x410mm。</w:t>
      </w:r>
    </w:p>
    <w:p>
      <w:pPr>
        <w:tabs>
          <w:tab w:val="center" w:pos="4153"/>
        </w:tabs>
        <w:spacing w:line="360" w:lineRule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3、闸门密封组件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采用钢构和橡胶波纹组合形式，必须满足压缩回弹性好，变形小，基本尺寸为850x1200x120mm。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ind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4、给料机密封组件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采用钢构和橡胶波纹组合形式，必须满足压缩回弹性好，变形小，基本尺寸为650x1400x120mm。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ind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5、筛箱返矿扣密封组件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采用钢构和聚氨酯发泡密封组合形式，必须满足压缩回弹性好，变形小，基本尺寸为1095x1640x100mm。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ind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6、集灰斗出口密封组件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采用钢构和聚氨酯发泡密封组合形式，必须满足压缩回弹性好，变形小，基本尺寸为1060x1300x180mm。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ind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7、筛箱成品口密封组件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采用钢构和橡胶波纹组合形式，必须满足压缩回弹性好，变形小，基本尺寸为960x1900x120mm。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以上所有设备尺寸参数仅供参考，需实际测量设计确定尺寸。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Arial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Arial" w:cs="宋体"/>
          <w:b/>
          <w:bCs/>
          <w:color w:val="auto"/>
          <w:sz w:val="28"/>
          <w:szCs w:val="28"/>
          <w:lang w:val="en-US" w:eastAsia="zh-CN"/>
        </w:rPr>
        <w:t>五、双方设计及供货范围</w:t>
      </w:r>
    </w:p>
    <w:p>
      <w:pPr>
        <w:spacing w:line="360" w:lineRule="auto"/>
        <w:ind w:left="964" w:hanging="964" w:hangingChars="400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 xml:space="preserve"> 1、</w:t>
      </w:r>
      <w:r>
        <w:rPr>
          <w:rFonts w:hint="eastAsia" w:ascii="宋体" w:hAnsi="宋体" w:cs="宋体"/>
          <w:b/>
          <w:color w:val="auto"/>
          <w:sz w:val="24"/>
          <w:szCs w:val="24"/>
        </w:rPr>
        <w:t>设计分交</w:t>
      </w:r>
    </w:p>
    <w:p>
      <w:pPr>
        <w:spacing w:line="360" w:lineRule="auto"/>
        <w:ind w:left="960" w:hanging="960" w:hangingChars="4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1.1 投标方负责</w:t>
      </w:r>
    </w:p>
    <w:p>
      <w:pPr>
        <w:spacing w:line="360" w:lineRule="auto"/>
        <w:ind w:left="566" w:hanging="566" w:hangingChars="23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）投标方对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振动筛密封进行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改造设计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、指导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调试和使用性能负责,</w:t>
      </w:r>
      <w:r>
        <w:rPr>
          <w:rFonts w:hint="eastAsia" w:ascii="宋体" w:hAnsi="宋体"/>
          <w:color w:val="auto"/>
          <w:sz w:val="24"/>
        </w:rPr>
        <w:t>同时严格按照</w:t>
      </w:r>
      <w:r>
        <w:rPr>
          <w:rFonts w:hint="eastAsia" w:ascii="宋体" w:hAnsi="宋体"/>
          <w:color w:val="auto"/>
          <w:sz w:val="24"/>
          <w:lang w:eastAsia="zh-CN"/>
        </w:rPr>
        <w:t>招标方</w:t>
      </w:r>
      <w:r>
        <w:rPr>
          <w:rFonts w:hint="eastAsia" w:ascii="宋体" w:hAnsi="宋体"/>
          <w:color w:val="auto"/>
          <w:sz w:val="24"/>
        </w:rPr>
        <w:t>节点要求按时提供设备基础条件以及其他相关技术资料。</w:t>
      </w:r>
    </w:p>
    <w:p>
      <w:pPr>
        <w:spacing w:line="360" w:lineRule="auto"/>
        <w:ind w:left="566" w:hanging="566" w:hangingChars="236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（2）投标方负责提供设备非标备品备件的图纸、标准件的规格型号（含国标号），便于招标方采购。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1.2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（1）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提供设备相关技术参数。</w:t>
      </w:r>
    </w:p>
    <w:p>
      <w:pPr>
        <w:spacing w:line="360" w:lineRule="auto"/>
        <w:ind w:left="964" w:hanging="964" w:hangingChars="400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 xml:space="preserve">  2、</w:t>
      </w:r>
      <w:r>
        <w:rPr>
          <w:rFonts w:hint="eastAsia" w:ascii="宋体" w:hAnsi="宋体" w:cs="宋体"/>
          <w:b/>
          <w:color w:val="auto"/>
          <w:sz w:val="24"/>
          <w:szCs w:val="24"/>
        </w:rPr>
        <w:t>供货分交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2.1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投标方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ind w:left="566" w:hanging="566" w:hangingChars="236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（1）负责本技术文件所描述密封</w:t>
      </w:r>
      <w:r>
        <w:rPr>
          <w:rFonts w:hint="eastAsia" w:ascii="宋体" w:hAnsi="宋体"/>
          <w:sz w:val="24"/>
        </w:rPr>
        <w:t>设备</w:t>
      </w:r>
      <w:r>
        <w:rPr>
          <w:rFonts w:hint="eastAsia" w:ascii="宋体" w:hAnsi="宋体" w:cs="宋体"/>
          <w:sz w:val="24"/>
        </w:rPr>
        <w:t>功能范围内所有设备包含设备</w:t>
      </w:r>
      <w:r>
        <w:rPr>
          <w:rFonts w:hint="eastAsia" w:ascii="宋体" w:hAnsi="宋体" w:cs="宋体"/>
          <w:sz w:val="24"/>
          <w:lang w:eastAsia="zh-CN"/>
        </w:rPr>
        <w:t>组件</w:t>
      </w:r>
      <w:r>
        <w:rPr>
          <w:rFonts w:hint="eastAsia" w:ascii="宋体" w:hAnsi="宋体" w:cs="宋体"/>
          <w:sz w:val="24"/>
        </w:rPr>
        <w:t>及附属设施供货，明确注明属招标方供货的除外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并对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该成套设备的完整性负责。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（2）负责</w:t>
      </w:r>
      <w:r>
        <w:rPr>
          <w:rFonts w:hint="eastAsia" w:ascii="宋体" w:hAnsi="宋体" w:cs="宋体"/>
          <w:sz w:val="24"/>
          <w:lang w:eastAsia="zh-CN"/>
        </w:rPr>
        <w:t>指导安装，调试使用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2.2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负责设备安装。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2.3所有投标方供货的设备都涂有底漆及二次面漆加以防护，通用产品出厂涂</w:t>
      </w:r>
    </w:p>
    <w:p>
      <w:pPr>
        <w:tabs>
          <w:tab w:val="left" w:pos="2837"/>
        </w:tabs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有最终面漆。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ab/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2.3</w:t>
      </w:r>
      <w:r>
        <w:rPr>
          <w:rFonts w:hint="eastAsia" w:ascii="宋体" w:hAnsi="宋体" w:cs="宋体"/>
          <w:color w:val="auto"/>
          <w:sz w:val="24"/>
          <w:szCs w:val="24"/>
        </w:rPr>
        <w:t>主要设施及附属设施的涂装须按《涂装通用技术条件》JB/T5000.12.1998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执行。涂漆前必须认真仔细地清除锈蚀，手工除锈要达到st3级，喷射除锈要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达到sa2.5级。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涂漆道次：涂底漆2次，2次面漆。平膜总厚度为100μm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（干膜）。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2.4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供货分交表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b/>
          <w:color w:val="auto"/>
          <w:sz w:val="24"/>
        </w:rPr>
        <w:t>S：</w:t>
      </w:r>
      <w:r>
        <w:rPr>
          <w:rFonts w:hint="eastAsia" w:ascii="宋体" w:hAnsi="宋体"/>
          <w:b/>
          <w:color w:val="auto"/>
          <w:sz w:val="24"/>
          <w:lang w:eastAsia="zh-CN"/>
        </w:rPr>
        <w:t>投标方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color w:val="auto"/>
          <w:sz w:val="24"/>
        </w:rPr>
        <w:t>B：</w:t>
      </w:r>
      <w:r>
        <w:rPr>
          <w:rFonts w:hint="eastAsia" w:ascii="宋体" w:hAnsi="宋体"/>
          <w:b/>
          <w:color w:val="auto"/>
          <w:sz w:val="24"/>
          <w:lang w:eastAsia="zh-CN"/>
        </w:rPr>
        <w:t>招标方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            </w:t>
      </w:r>
    </w:p>
    <w:tbl>
      <w:tblPr>
        <w:tblStyle w:val="2"/>
        <w:tblW w:w="8904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145"/>
        <w:gridCol w:w="450"/>
        <w:gridCol w:w="435"/>
        <w:gridCol w:w="660"/>
        <w:gridCol w:w="645"/>
        <w:gridCol w:w="420"/>
        <w:gridCol w:w="420"/>
        <w:gridCol w:w="660"/>
        <w:gridCol w:w="76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初步设计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详细设计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供货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安装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安装调试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现场指导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布料斗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防尘罩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闸门密封组件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给料机密封组件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筛箱返矿扣密封组件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集灰斗出口密封组件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筛箱成品口密封组件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tabs>
                <w:tab w:val="left" w:pos="357"/>
              </w:tabs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720"/>
        </w:tabs>
        <w:jc w:val="left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六、资料交付</w:t>
      </w:r>
    </w:p>
    <w:p>
      <w:pPr>
        <w:widowControl/>
        <w:numPr>
          <w:ilvl w:val="0"/>
          <w:numId w:val="0"/>
        </w:numPr>
        <w:tabs>
          <w:tab w:val="left" w:pos="720"/>
        </w:tabs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8.1资料交付及要求</w:t>
      </w:r>
    </w:p>
    <w:tbl>
      <w:tblPr>
        <w:tblStyle w:val="2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4192"/>
        <w:gridCol w:w="163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交付时间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安装总图（含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重量）、部件图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套，电子版（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dwg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备件图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</w:t>
            </w:r>
          </w:p>
        </w:tc>
        <w:tc>
          <w:tcPr>
            <w:tcW w:w="2408" w:type="dxa"/>
            <w:vMerge w:val="restart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蓝图4套，电子版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主要外购件清单</w:t>
            </w:r>
          </w:p>
        </w:tc>
        <w:tc>
          <w:tcPr>
            <w:tcW w:w="1635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消耗件、易损件清单</w:t>
            </w:r>
          </w:p>
        </w:tc>
        <w:tc>
          <w:tcPr>
            <w:tcW w:w="1635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相关资料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质量检验书和质保书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纸版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Arial" w:hAnsi="宋体" w:cs="Arial"/>
          <w:bCs/>
          <w:sz w:val="24"/>
          <w:szCs w:val="24"/>
        </w:rPr>
      </w:pPr>
      <w:r>
        <w:rPr>
          <w:rFonts w:hint="eastAsia" w:ascii="Arial" w:hAnsi="宋体" w:cs="Arial"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hint="eastAsia" w:ascii="Arial" w:hAnsi="宋体" w:cs="Arial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.</w:t>
      </w:r>
      <w:r>
        <w:rPr>
          <w:rFonts w:hint="eastAsia" w:ascii="Arial" w:hAnsi="宋体" w:cs="Arial"/>
          <w:bCs/>
          <w:sz w:val="24"/>
          <w:szCs w:val="24"/>
        </w:rPr>
        <w:t>所有日期均指日历日。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投标方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交付的资料包括纸质资料和电子文件，表中资料份数为纸版资料份数。要求电子文件可编辑，电子文件类型分别为：dwg文件；doc文件；xls文件等。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.</w:t>
      </w:r>
      <w:r>
        <w:rPr>
          <w:rFonts w:ascii="宋体" w:hAnsi="宋体"/>
          <w:sz w:val="24"/>
        </w:rPr>
        <w:t>对于没有列入技术资料清单，却是工程所必需的文件和资料，</w:t>
      </w:r>
      <w:r>
        <w:rPr>
          <w:rFonts w:hint="eastAsia" w:ascii="宋体" w:hAnsi="宋体"/>
          <w:sz w:val="24"/>
          <w:lang w:eastAsia="zh-CN"/>
        </w:rPr>
        <w:t>投标方</w:t>
      </w:r>
      <w:r>
        <w:rPr>
          <w:rFonts w:ascii="宋体" w:hAnsi="宋体"/>
          <w:sz w:val="24"/>
        </w:rPr>
        <w:t>应按</w:t>
      </w:r>
      <w:r>
        <w:rPr>
          <w:rFonts w:hint="eastAsia" w:ascii="宋体" w:hAnsi="宋体"/>
          <w:sz w:val="24"/>
          <w:lang w:eastAsia="zh-CN"/>
        </w:rPr>
        <w:t>招标方</w:t>
      </w:r>
      <w:r>
        <w:rPr>
          <w:rFonts w:ascii="宋体" w:hAnsi="宋体"/>
          <w:sz w:val="24"/>
        </w:rPr>
        <w:t>要求及时免费提供。如需改进时，</w:t>
      </w:r>
      <w:r>
        <w:rPr>
          <w:rFonts w:hint="eastAsia" w:ascii="宋体" w:hAnsi="宋体"/>
          <w:sz w:val="24"/>
          <w:lang w:eastAsia="zh-CN"/>
        </w:rPr>
        <w:t>投标方</w:t>
      </w:r>
      <w:r>
        <w:rPr>
          <w:rFonts w:ascii="宋体" w:hAnsi="宋体"/>
          <w:sz w:val="24"/>
        </w:rPr>
        <w:t>应及时免费提供新的技术资料。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4.投标方涉及第三方专利和其他知识产权纠纷的，由投标方自行负责，与招标方无关。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000000"/>
          <w:sz w:val="28"/>
          <w:szCs w:val="21"/>
        </w:rPr>
      </w:pPr>
      <w:bookmarkStart w:id="3" w:name="_Toc294085364"/>
      <w:r>
        <w:rPr>
          <w:rFonts w:hint="eastAsia"/>
          <w:b/>
          <w:bCs/>
          <w:color w:val="000000"/>
          <w:sz w:val="28"/>
          <w:szCs w:val="21"/>
          <w:lang w:eastAsia="zh-CN"/>
        </w:rPr>
        <w:t>七、</w:t>
      </w:r>
      <w:r>
        <w:rPr>
          <w:rFonts w:hint="eastAsia"/>
          <w:b/>
          <w:bCs/>
          <w:color w:val="000000"/>
          <w:sz w:val="28"/>
          <w:szCs w:val="21"/>
        </w:rPr>
        <w:t>技术支持及服务</w:t>
      </w:r>
      <w:bookmarkEnd w:id="3"/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要求</w:t>
      </w:r>
      <w:r>
        <w:rPr>
          <w:rFonts w:hint="eastAsia" w:ascii="宋体" w:hAnsi="宋体"/>
          <w:color w:val="000000"/>
          <w:sz w:val="24"/>
          <w:lang w:eastAsia="zh-CN"/>
        </w:rPr>
        <w:t>投标方指导安装调试，</w:t>
      </w:r>
      <w:r>
        <w:rPr>
          <w:rFonts w:hint="eastAsia" w:ascii="宋体" w:hAnsi="宋体"/>
          <w:color w:val="000000"/>
          <w:sz w:val="24"/>
        </w:rPr>
        <w:t>在</w:t>
      </w:r>
      <w:r>
        <w:rPr>
          <w:rFonts w:hint="eastAsia" w:ascii="宋体" w:hAnsi="宋体"/>
          <w:color w:val="000000"/>
          <w:sz w:val="24"/>
          <w:lang w:eastAsia="zh-CN"/>
        </w:rPr>
        <w:t>装置</w:t>
      </w:r>
      <w:r>
        <w:rPr>
          <w:rFonts w:hint="eastAsia" w:ascii="宋体" w:hAnsi="宋体"/>
          <w:color w:val="000000"/>
          <w:sz w:val="24"/>
        </w:rPr>
        <w:t>安装、调试、试车和</w:t>
      </w:r>
      <w:r>
        <w:rPr>
          <w:rFonts w:hint="eastAsia" w:ascii="宋体" w:hAnsi="宋体"/>
          <w:color w:val="000000"/>
          <w:sz w:val="24"/>
          <w:lang w:eastAsia="zh-CN"/>
        </w:rPr>
        <w:t>装置</w:t>
      </w:r>
      <w:r>
        <w:rPr>
          <w:rFonts w:hint="eastAsia" w:ascii="宋体" w:hAnsi="宋体"/>
          <w:color w:val="000000"/>
          <w:sz w:val="24"/>
        </w:rPr>
        <w:t>性能指标考核过</w:t>
      </w:r>
    </w:p>
    <w:p>
      <w:pPr>
        <w:numPr>
          <w:ilvl w:val="0"/>
          <w:numId w:val="0"/>
        </w:numPr>
        <w:tabs>
          <w:tab w:val="left" w:pos="397"/>
        </w:tabs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程中，委派有经验的工程技术人员来现场提供技术服务。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000000"/>
          <w:sz w:val="28"/>
          <w:szCs w:val="21"/>
        </w:rPr>
      </w:pPr>
      <w:bookmarkStart w:id="4" w:name="_Toc294085365"/>
      <w:r>
        <w:rPr>
          <w:rFonts w:hint="eastAsia"/>
          <w:b/>
          <w:bCs/>
          <w:color w:val="000000"/>
          <w:sz w:val="28"/>
          <w:szCs w:val="21"/>
          <w:lang w:eastAsia="zh-CN"/>
        </w:rPr>
        <w:t>八、投标</w:t>
      </w:r>
      <w:r>
        <w:rPr>
          <w:rFonts w:hint="eastAsia"/>
          <w:b/>
          <w:bCs/>
          <w:color w:val="000000"/>
          <w:sz w:val="28"/>
          <w:szCs w:val="21"/>
        </w:rPr>
        <w:t>书内容和要求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1.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请按本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技术文件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提出的范围和要求进行分项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描述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，对所供装置进行详细技术说明，其中包括装置技术性能、规格、结构特点、材质、重量，并用图形和附表表示供货范围和交接点，最大单件重量及最大单件外形尺寸。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2. 提供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工艺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布置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3.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主要装置、关键零部件供应商清单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4A0837"/>
    <w:multiLevelType w:val="singleLevel"/>
    <w:tmpl w:val="AD4A08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0B5D24"/>
    <w:multiLevelType w:val="singleLevel"/>
    <w:tmpl w:val="FD0B5D2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9"/>
    <w:multiLevelType w:val="singleLevel"/>
    <w:tmpl w:val="00000009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3A2B"/>
    <w:rsid w:val="02EC66E9"/>
    <w:rsid w:val="03056869"/>
    <w:rsid w:val="03444220"/>
    <w:rsid w:val="04241430"/>
    <w:rsid w:val="054B2894"/>
    <w:rsid w:val="069D2443"/>
    <w:rsid w:val="0A4B1AFB"/>
    <w:rsid w:val="0AF665A5"/>
    <w:rsid w:val="0CC41520"/>
    <w:rsid w:val="0D2C1DBA"/>
    <w:rsid w:val="0EC56762"/>
    <w:rsid w:val="0FDF245B"/>
    <w:rsid w:val="16A26099"/>
    <w:rsid w:val="171F0E8C"/>
    <w:rsid w:val="173431C8"/>
    <w:rsid w:val="17482F89"/>
    <w:rsid w:val="1A14508B"/>
    <w:rsid w:val="1CB72B66"/>
    <w:rsid w:val="1E2D0370"/>
    <w:rsid w:val="1E380F44"/>
    <w:rsid w:val="1E48289D"/>
    <w:rsid w:val="1F3A2B90"/>
    <w:rsid w:val="1F5D1CAB"/>
    <w:rsid w:val="1FF431B9"/>
    <w:rsid w:val="270C6617"/>
    <w:rsid w:val="27733D27"/>
    <w:rsid w:val="2BC6233E"/>
    <w:rsid w:val="2DE47519"/>
    <w:rsid w:val="2EDB43BF"/>
    <w:rsid w:val="320B70FA"/>
    <w:rsid w:val="357B3B03"/>
    <w:rsid w:val="35AE0744"/>
    <w:rsid w:val="36F56367"/>
    <w:rsid w:val="37B514D4"/>
    <w:rsid w:val="3B574078"/>
    <w:rsid w:val="3BCC2836"/>
    <w:rsid w:val="3C8B4F71"/>
    <w:rsid w:val="3D5A4F6C"/>
    <w:rsid w:val="3E6120A7"/>
    <w:rsid w:val="42C15EE0"/>
    <w:rsid w:val="45884CFC"/>
    <w:rsid w:val="46EE1216"/>
    <w:rsid w:val="4C606FD7"/>
    <w:rsid w:val="520050BD"/>
    <w:rsid w:val="537760AD"/>
    <w:rsid w:val="5444724B"/>
    <w:rsid w:val="54834058"/>
    <w:rsid w:val="57702163"/>
    <w:rsid w:val="5A992640"/>
    <w:rsid w:val="5CBA694B"/>
    <w:rsid w:val="5CE03B31"/>
    <w:rsid w:val="5CE5681B"/>
    <w:rsid w:val="5D34741B"/>
    <w:rsid w:val="5D5C26F4"/>
    <w:rsid w:val="5DEA4BDE"/>
    <w:rsid w:val="61B55FF6"/>
    <w:rsid w:val="632451FB"/>
    <w:rsid w:val="66591208"/>
    <w:rsid w:val="6745374D"/>
    <w:rsid w:val="6A8B05A6"/>
    <w:rsid w:val="6B614539"/>
    <w:rsid w:val="6C047A21"/>
    <w:rsid w:val="6CD91F85"/>
    <w:rsid w:val="6D0C33D0"/>
    <w:rsid w:val="6D644638"/>
    <w:rsid w:val="6F4D2167"/>
    <w:rsid w:val="6FC805FB"/>
    <w:rsid w:val="705E543B"/>
    <w:rsid w:val="70BE3FE3"/>
    <w:rsid w:val="75B52598"/>
    <w:rsid w:val="76772465"/>
    <w:rsid w:val="787D553F"/>
    <w:rsid w:val="7A3F6EC5"/>
    <w:rsid w:val="7B863A2B"/>
    <w:rsid w:val="7D6F273E"/>
    <w:rsid w:val="7FC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2020-09-29T03:08:00Z</dcterms:created>
  <dc:creator>李乔乔</dc:creator>
  <cp:lastModifiedBy>Administrator</cp:lastModifiedBy>
  <cp:lastPrinted>2020-09-30T03:38:00Z</cp:lastPrinted>
  <dcterms:modified xsi:type="dcterms:W3CDTF">2021-02-10T01:09:39Z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