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高炉压浆材料及施工</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18</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SC202102007GLYJCLJSG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高炉压浆材料及施工</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26日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lang w:eastAsia="zh-CN"/>
        </w:rPr>
        <w:t>）</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本次招标合同为包工包料的形式，供应单位负责施工；合同周期为一年。</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要求提供业内3家以上大型钢厂承包业绩。</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投标保证金2万元，中标后按公司要求缴纳60万安全保障金。</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评标价格为：高炉炉体炉缸压浆（含硬质压入料）的价格*70% + 中套压浆的价格*20%        + 其余项目（炉身压浆孔价格 + DN32金属软管及球阀价格）*10%。</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numPr>
          <w:ilvl w:val="0"/>
          <w:numId w:val="9"/>
        </w:numPr>
        <w:spacing w:line="360" w:lineRule="auto"/>
        <w:ind w:left="481" w:leftChars="0" w:firstLine="0" w:firstLineChars="0"/>
        <w:rPr>
          <w:rFonts w:hint="eastAsia" w:ascii="宋体" w:hAnsi="宋体"/>
          <w:b/>
          <w:color w:val="FF0000"/>
          <w:sz w:val="24"/>
          <w:szCs w:val="24"/>
          <w:lang w:val="en-US" w:eastAsia="zh-CN"/>
        </w:rPr>
      </w:pPr>
      <w:r>
        <w:rPr>
          <w:rFonts w:hint="eastAsia" w:ascii="宋体" w:hAnsi="宋体"/>
          <w:b/>
          <w:color w:val="FF0000"/>
          <w:sz w:val="24"/>
          <w:szCs w:val="24"/>
        </w:rPr>
        <w:t>高炉炉体炉缸压浆（含硬质压入料）</w:t>
      </w:r>
      <w:r>
        <w:rPr>
          <w:rFonts w:hint="eastAsia" w:ascii="宋体" w:hAnsi="宋体"/>
          <w:b/>
          <w:color w:val="FF0000"/>
          <w:sz w:val="24"/>
          <w:szCs w:val="24"/>
          <w:lang w:eastAsia="zh-CN"/>
        </w:rPr>
        <w:t>：</w:t>
      </w:r>
      <w:r>
        <w:rPr>
          <w:rFonts w:hint="eastAsia" w:ascii="宋体" w:hAnsi="宋体"/>
          <w:b/>
          <w:color w:val="FF0000"/>
          <w:sz w:val="24"/>
          <w:szCs w:val="24"/>
          <w:lang w:val="en-US" w:eastAsia="zh-CN"/>
        </w:rPr>
        <w:t>32400元/吨（大写：叁万贰仟肆佰元每吨）；</w:t>
      </w:r>
    </w:p>
    <w:p>
      <w:pPr>
        <w:numPr>
          <w:ilvl w:val="0"/>
          <w:numId w:val="9"/>
        </w:numPr>
        <w:spacing w:line="360" w:lineRule="auto"/>
        <w:ind w:left="481" w:leftChars="0" w:firstLine="0" w:firstLineChars="0"/>
        <w:rPr>
          <w:rFonts w:hint="default" w:ascii="宋体" w:hAnsi="宋体"/>
          <w:b/>
          <w:color w:val="FF0000"/>
          <w:sz w:val="24"/>
          <w:szCs w:val="24"/>
          <w:lang w:val="en-US" w:eastAsia="zh-CN"/>
        </w:rPr>
      </w:pPr>
      <w:r>
        <w:rPr>
          <w:rFonts w:hint="eastAsia" w:ascii="宋体" w:hAnsi="宋体"/>
          <w:b/>
          <w:color w:val="FF0000"/>
          <w:sz w:val="24"/>
          <w:szCs w:val="24"/>
        </w:rPr>
        <w:t>炉身压浆孔Φ42mm</w:t>
      </w:r>
      <w:r>
        <w:rPr>
          <w:rFonts w:hint="eastAsia" w:ascii="宋体" w:hAnsi="宋体"/>
          <w:b/>
          <w:color w:val="FF0000"/>
          <w:sz w:val="24"/>
          <w:szCs w:val="24"/>
          <w:lang w:eastAsia="zh-CN"/>
        </w:rPr>
        <w:t>：</w:t>
      </w:r>
      <w:r>
        <w:rPr>
          <w:rFonts w:hint="eastAsia" w:ascii="宋体" w:hAnsi="宋体"/>
          <w:b/>
          <w:color w:val="FF0000"/>
          <w:sz w:val="24"/>
          <w:szCs w:val="24"/>
          <w:lang w:val="en-US" w:eastAsia="zh-CN"/>
        </w:rPr>
        <w:t>3480元/个（大写：叁仟肆佰捌拾元每个）</w:t>
      </w:r>
      <w:r>
        <w:rPr>
          <w:rFonts w:hint="eastAsia" w:ascii="宋体" w:hAnsi="宋体"/>
          <w:b/>
          <w:color w:val="FF0000"/>
          <w:sz w:val="24"/>
          <w:szCs w:val="24"/>
          <w:lang w:eastAsia="zh-CN"/>
        </w:rPr>
        <w:t>；</w:t>
      </w:r>
    </w:p>
    <w:p>
      <w:pPr>
        <w:numPr>
          <w:ilvl w:val="0"/>
          <w:numId w:val="9"/>
        </w:numPr>
        <w:spacing w:line="360" w:lineRule="auto"/>
        <w:ind w:left="481" w:leftChars="0" w:firstLine="0"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中套压浆：4290元/个（大写：肆仟贰佰玖拾元每个）；</w:t>
      </w:r>
    </w:p>
    <w:p>
      <w:pPr>
        <w:numPr>
          <w:ilvl w:val="0"/>
          <w:numId w:val="9"/>
        </w:numPr>
        <w:spacing w:line="360" w:lineRule="auto"/>
        <w:ind w:left="481" w:leftChars="0" w:firstLine="0"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DN32金属软管及球阀：336元/套。</w:t>
      </w:r>
    </w:p>
    <w:p>
      <w:pPr>
        <w:numPr>
          <w:numId w:val="0"/>
        </w:numPr>
        <w:spacing w:line="360" w:lineRule="auto"/>
        <w:ind w:left="481" w:leftChars="0" w:firstLine="241" w:firstLineChars="100"/>
        <w:rPr>
          <w:rFonts w:hint="default" w:ascii="宋体" w:hAnsi="宋体"/>
          <w:b/>
          <w:color w:val="FF0000"/>
          <w:sz w:val="24"/>
          <w:szCs w:val="24"/>
          <w:lang w:val="en-US" w:eastAsia="zh-CN"/>
        </w:rPr>
      </w:pPr>
      <w:r>
        <w:rPr>
          <w:rFonts w:hint="eastAsia" w:ascii="宋体" w:hAnsi="宋体"/>
          <w:b/>
          <w:color w:val="FF0000"/>
          <w:sz w:val="24"/>
          <w:szCs w:val="24"/>
          <w:lang w:val="en-US" w:eastAsia="zh-CN"/>
        </w:rPr>
        <w:t>合计总价：40506元（大写：肆万零伍佰零陆元）。</w:t>
      </w:r>
    </w:p>
    <w:p>
      <w:pPr>
        <w:numPr>
          <w:numId w:val="0"/>
        </w:numPr>
        <w:spacing w:line="360" w:lineRule="auto"/>
        <w:ind w:firstLine="723" w:firstLineChars="300"/>
        <w:rPr>
          <w:rFonts w:hint="eastAsia" w:ascii="宋体" w:hAnsi="宋体"/>
          <w:b/>
          <w:color w:val="FF0000"/>
          <w:sz w:val="24"/>
          <w:szCs w:val="24"/>
        </w:rPr>
      </w:pPr>
      <w:r>
        <w:rPr>
          <w:rFonts w:hint="eastAsia" w:ascii="宋体" w:hAnsi="宋体"/>
          <w:b/>
          <w:color w:val="FF0000"/>
          <w:sz w:val="24"/>
          <w:szCs w:val="24"/>
        </w:rPr>
        <w:t>报价高于</w:t>
      </w:r>
      <w:r>
        <w:rPr>
          <w:rFonts w:hint="eastAsia" w:ascii="宋体" w:hAnsi="宋体"/>
          <w:b/>
          <w:color w:val="FF0000"/>
          <w:sz w:val="24"/>
          <w:szCs w:val="24"/>
          <w:lang w:val="en-US" w:eastAsia="zh-CN"/>
        </w:rPr>
        <w:t>以上</w:t>
      </w:r>
      <w:r>
        <w:rPr>
          <w:rFonts w:hint="eastAsia" w:ascii="宋体" w:hAnsi="宋体"/>
          <w:b/>
          <w:color w:val="FF0000"/>
          <w:sz w:val="24"/>
          <w:szCs w:val="24"/>
        </w:rPr>
        <w:t>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bookmarkStart w:id="0" w:name="_GoBack"/>
      <w:bookmarkEnd w:id="0"/>
    </w:p>
    <w:p>
      <w:pPr>
        <w:jc w:val="both"/>
        <w:rPr>
          <w:b/>
          <w:sz w:val="24"/>
          <w:szCs w:val="24"/>
        </w:rPr>
      </w:pPr>
    </w:p>
    <w:p>
      <w:pPr>
        <w:jc w:val="both"/>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高炉压浆材料及施工</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374"/>
        <w:gridCol w:w="512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28" w:type="pct"/>
            <w:noWrap w:val="0"/>
            <w:vAlign w:val="center"/>
          </w:tcPr>
          <w:p>
            <w:pPr>
              <w:jc w:val="center"/>
              <w:rPr>
                <w:rFonts w:hint="eastAsia"/>
                <w:sz w:val="18"/>
                <w:szCs w:val="18"/>
              </w:rPr>
            </w:pPr>
            <w:r>
              <w:rPr>
                <w:rFonts w:hint="eastAsia"/>
                <w:sz w:val="18"/>
                <w:szCs w:val="18"/>
              </w:rPr>
              <w:t>序号</w:t>
            </w:r>
          </w:p>
        </w:tc>
        <w:tc>
          <w:tcPr>
            <w:tcW w:w="772" w:type="pct"/>
            <w:noWrap w:val="0"/>
            <w:vAlign w:val="center"/>
          </w:tcPr>
          <w:p>
            <w:pPr>
              <w:jc w:val="center"/>
              <w:rPr>
                <w:rFonts w:hint="eastAsia"/>
                <w:sz w:val="18"/>
                <w:szCs w:val="18"/>
              </w:rPr>
            </w:pPr>
            <w:r>
              <w:rPr>
                <w:rFonts w:hint="eastAsia"/>
                <w:sz w:val="18"/>
                <w:szCs w:val="18"/>
              </w:rPr>
              <w:t>物资名称</w:t>
            </w:r>
          </w:p>
        </w:tc>
        <w:tc>
          <w:tcPr>
            <w:tcW w:w="2880" w:type="pct"/>
            <w:noWrap w:val="0"/>
            <w:vAlign w:val="center"/>
          </w:tcPr>
          <w:p>
            <w:pPr>
              <w:jc w:val="center"/>
              <w:rPr>
                <w:rFonts w:hint="eastAsia"/>
                <w:sz w:val="18"/>
                <w:szCs w:val="18"/>
              </w:rPr>
            </w:pPr>
            <w:r>
              <w:rPr>
                <w:rFonts w:hint="eastAsia"/>
                <w:sz w:val="18"/>
                <w:szCs w:val="18"/>
              </w:rPr>
              <w:t>含税、含运费报价</w:t>
            </w:r>
          </w:p>
        </w:tc>
        <w:tc>
          <w:tcPr>
            <w:tcW w:w="1018" w:type="pct"/>
            <w:noWrap w:val="0"/>
            <w:vAlign w:val="center"/>
          </w:tcPr>
          <w:p>
            <w:pPr>
              <w:jc w:val="center"/>
              <w:rPr>
                <w:rFonts w:hint="eastAsia" w:eastAsia="宋体"/>
                <w:sz w:val="18"/>
                <w:szCs w:val="18"/>
                <w:lang w:eastAsia="zh-CN"/>
              </w:rPr>
            </w:pPr>
            <w:r>
              <w:rPr>
                <w:rFonts w:hint="eastAsia"/>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restart"/>
            <w:noWrap w:val="0"/>
            <w:vAlign w:val="center"/>
          </w:tcPr>
          <w:p>
            <w:pPr>
              <w:jc w:val="center"/>
              <w:rPr>
                <w:sz w:val="24"/>
                <w:szCs w:val="24"/>
              </w:rPr>
            </w:pPr>
            <w:r>
              <w:rPr>
                <w:rFonts w:hint="eastAsia"/>
                <w:sz w:val="24"/>
                <w:szCs w:val="24"/>
              </w:rPr>
              <w:t>1</w:t>
            </w:r>
          </w:p>
        </w:tc>
        <w:tc>
          <w:tcPr>
            <w:tcW w:w="772" w:type="pct"/>
            <w:vMerge w:val="restart"/>
            <w:noWrap w:val="0"/>
            <w:vAlign w:val="center"/>
          </w:tcPr>
          <w:p>
            <w:pPr>
              <w:jc w:val="center"/>
              <w:rPr>
                <w:rFonts w:hint="eastAsia" w:eastAsia="宋体"/>
                <w:sz w:val="24"/>
                <w:szCs w:val="24"/>
                <w:lang w:eastAsia="zh-CN"/>
              </w:rPr>
            </w:pPr>
            <w:r>
              <w:rPr>
                <w:rFonts w:hint="eastAsia" w:ascii="宋体" w:hAnsi="宋体"/>
                <w:sz w:val="24"/>
                <w:szCs w:val="24"/>
              </w:rPr>
              <w:t>高炉炉体炉缸压浆</w:t>
            </w:r>
            <w:r>
              <w:rPr>
                <w:rFonts w:hint="eastAsia" w:ascii="宋体" w:hAnsi="宋体"/>
                <w:sz w:val="24"/>
                <w:szCs w:val="24"/>
                <w:lang w:eastAsia="zh-CN"/>
              </w:rPr>
              <w:t>（</w:t>
            </w:r>
            <w:r>
              <w:rPr>
                <w:rFonts w:hint="eastAsia" w:ascii="宋体" w:hAnsi="宋体"/>
                <w:sz w:val="24"/>
                <w:szCs w:val="24"/>
                <w:lang w:val="en-US" w:eastAsia="zh-CN"/>
              </w:rPr>
              <w:t>含硬质压入料</w:t>
            </w:r>
            <w:r>
              <w:rPr>
                <w:rFonts w:hint="eastAsia" w:ascii="宋体" w:hAnsi="宋体"/>
                <w:sz w:val="24"/>
                <w:szCs w:val="24"/>
                <w:lang w:eastAsia="zh-CN"/>
              </w:rPr>
              <w:t>）</w:t>
            </w: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（元/吨）              </w:t>
            </w:r>
          </w:p>
        </w:tc>
        <w:tc>
          <w:tcPr>
            <w:tcW w:w="1018" w:type="pct"/>
            <w:vMerge w:val="restart"/>
            <w:noWrap w:val="0"/>
            <w:vAlign w:val="top"/>
          </w:tcPr>
          <w:p>
            <w:pPr>
              <w:jc w:val="center"/>
              <w:rPr>
                <w:rFonts w:hint="eastAsia"/>
                <w:sz w:val="28"/>
                <w:szCs w:val="28"/>
              </w:rPr>
            </w:pPr>
          </w:p>
          <w:p>
            <w:pPr>
              <w:bidi w:val="0"/>
              <w:rPr>
                <w:rFonts w:hint="eastAsia"/>
                <w:kern w:val="2"/>
                <w:sz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r>
              <w:rPr>
                <w:rFonts w:hint="eastAsia"/>
                <w:lang w:val="en-US" w:eastAsia="zh-CN"/>
              </w:rPr>
              <w:t>供方负责主材、辅材和施工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continue"/>
            <w:noWrap w:val="0"/>
            <w:vAlign w:val="center"/>
          </w:tcPr>
          <w:p>
            <w:pPr>
              <w:jc w:val="center"/>
              <w:rPr>
                <w:rFonts w:hint="eastAsia"/>
                <w:sz w:val="24"/>
                <w:szCs w:val="24"/>
              </w:rPr>
            </w:pPr>
          </w:p>
        </w:tc>
        <w:tc>
          <w:tcPr>
            <w:tcW w:w="772" w:type="pct"/>
            <w:vMerge w:val="continue"/>
            <w:noWrap w:val="0"/>
            <w:vAlign w:val="center"/>
          </w:tcPr>
          <w:p>
            <w:pPr>
              <w:jc w:val="center"/>
              <w:rPr>
                <w:rFonts w:hint="eastAsia" w:ascii="宋体" w:hAnsi="宋体"/>
                <w:b/>
                <w:color w:val="000000"/>
                <w:sz w:val="24"/>
                <w:szCs w:val="24"/>
              </w:rPr>
            </w:pPr>
          </w:p>
        </w:tc>
        <w:tc>
          <w:tcPr>
            <w:tcW w:w="2880" w:type="pct"/>
            <w:noWrap w:val="0"/>
            <w:vAlign w:val="top"/>
          </w:tcPr>
          <w:p>
            <w:pPr>
              <w:jc w:val="left"/>
              <w:rPr>
                <w:rFonts w:hint="eastAsia"/>
                <w:sz w:val="24"/>
                <w:szCs w:val="24"/>
              </w:rPr>
            </w:pPr>
          </w:p>
          <w:p>
            <w:pPr>
              <w:tabs>
                <w:tab w:val="left" w:pos="3425"/>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（元/吨） </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restart"/>
            <w:noWrap w:val="0"/>
            <w:vAlign w:val="center"/>
          </w:tcPr>
          <w:p>
            <w:pPr>
              <w:jc w:val="center"/>
              <w:rPr>
                <w:rFonts w:hint="eastAsia"/>
                <w:sz w:val="24"/>
                <w:szCs w:val="24"/>
              </w:rPr>
            </w:pPr>
            <w:r>
              <w:rPr>
                <w:rFonts w:hint="eastAsia"/>
                <w:sz w:val="24"/>
                <w:szCs w:val="24"/>
              </w:rPr>
              <w:t>2</w:t>
            </w:r>
          </w:p>
        </w:tc>
        <w:tc>
          <w:tcPr>
            <w:tcW w:w="772"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sz w:val="24"/>
                <w:szCs w:val="24"/>
              </w:rPr>
              <w:t>炉身压浆孔</w:t>
            </w:r>
            <w:r>
              <w:rPr>
                <w:rFonts w:hint="eastAsia" w:ascii="宋体" w:hAnsi="宋体"/>
                <w:sz w:val="24"/>
                <w:szCs w:val="24"/>
                <w:lang w:eastAsia="zh-CN"/>
              </w:rPr>
              <w:t>（Φ</w:t>
            </w:r>
            <w:r>
              <w:rPr>
                <w:rFonts w:hint="eastAsia" w:ascii="宋体" w:hAnsi="宋体"/>
                <w:sz w:val="24"/>
                <w:szCs w:val="24"/>
              </w:rPr>
              <w:t>42</w:t>
            </w:r>
            <w:r>
              <w:rPr>
                <w:rFonts w:hint="eastAsia" w:ascii="宋体" w:hAnsi="宋体"/>
                <w:sz w:val="24"/>
                <w:szCs w:val="24"/>
                <w:lang w:val="en-US" w:eastAsia="zh-CN"/>
              </w:rPr>
              <w:t>mm）</w:t>
            </w:r>
          </w:p>
        </w:tc>
        <w:tc>
          <w:tcPr>
            <w:tcW w:w="2880" w:type="pct"/>
            <w:noWrap w:val="0"/>
            <w:vAlign w:val="top"/>
          </w:tcPr>
          <w:p>
            <w:pPr>
              <w:jc w:val="left"/>
              <w:rPr>
                <w:rFonts w:hint="eastAsia"/>
                <w:sz w:val="24"/>
                <w:szCs w:val="24"/>
              </w:rPr>
            </w:pPr>
          </w:p>
          <w:p>
            <w:pPr>
              <w:tabs>
                <w:tab w:val="left" w:pos="3763"/>
              </w:tabs>
              <w:jc w:val="left"/>
              <w:rPr>
                <w:rFonts w:hint="eastAsia" w:eastAsia="宋体"/>
                <w:sz w:val="24"/>
                <w:szCs w:val="24"/>
                <w:lang w:eastAsia="zh-CN"/>
              </w:rPr>
            </w:pPr>
            <w:r>
              <w:rPr>
                <w:rFonts w:hint="eastAsia"/>
                <w:sz w:val="24"/>
                <w:szCs w:val="24"/>
              </w:rPr>
              <w:t>小写：</w:t>
            </w:r>
            <w:r>
              <w:rPr>
                <w:rFonts w:hint="eastAsia"/>
                <w:sz w:val="24"/>
                <w:szCs w:val="24"/>
                <w:lang w:val="en-US" w:eastAsia="zh-CN"/>
              </w:rPr>
              <w:t xml:space="preserve">                         （元/个） </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continue"/>
            <w:noWrap w:val="0"/>
            <w:vAlign w:val="center"/>
          </w:tcPr>
          <w:p>
            <w:pPr>
              <w:jc w:val="center"/>
              <w:rPr>
                <w:rFonts w:hint="eastAsia"/>
                <w:sz w:val="24"/>
                <w:szCs w:val="24"/>
              </w:rPr>
            </w:pPr>
          </w:p>
        </w:tc>
        <w:tc>
          <w:tcPr>
            <w:tcW w:w="772" w:type="pct"/>
            <w:vMerge w:val="continue"/>
            <w:noWrap w:val="0"/>
            <w:vAlign w:val="center"/>
          </w:tcPr>
          <w:p>
            <w:pPr>
              <w:jc w:val="center"/>
              <w:rPr>
                <w:rFonts w:hint="eastAsia" w:ascii="宋体" w:hAnsi="宋体"/>
                <w:b/>
                <w:color w:val="000000"/>
                <w:sz w:val="24"/>
                <w:szCs w:val="24"/>
              </w:rPr>
            </w:pPr>
          </w:p>
        </w:tc>
        <w:tc>
          <w:tcPr>
            <w:tcW w:w="2880" w:type="pct"/>
            <w:noWrap w:val="0"/>
            <w:vAlign w:val="top"/>
          </w:tcPr>
          <w:p>
            <w:pPr>
              <w:jc w:val="left"/>
              <w:rPr>
                <w:rFonts w:hint="eastAsia"/>
                <w:sz w:val="24"/>
                <w:szCs w:val="24"/>
              </w:rPr>
            </w:pPr>
          </w:p>
          <w:p>
            <w:pPr>
              <w:tabs>
                <w:tab w:val="left" w:pos="3688"/>
              </w:tabs>
              <w:jc w:val="left"/>
              <w:rPr>
                <w:rFonts w:hint="eastAsia" w:eastAsia="宋体"/>
                <w:sz w:val="24"/>
                <w:szCs w:val="24"/>
                <w:lang w:eastAsia="zh-CN"/>
              </w:rPr>
            </w:pPr>
            <w:r>
              <w:rPr>
                <w:rFonts w:hint="eastAsia"/>
                <w:sz w:val="24"/>
                <w:szCs w:val="24"/>
              </w:rPr>
              <w:t>大写：</w:t>
            </w:r>
            <w:r>
              <w:rPr>
                <w:rFonts w:hint="eastAsia"/>
                <w:sz w:val="24"/>
                <w:szCs w:val="24"/>
                <w:lang w:eastAsia="zh-CN"/>
              </w:rPr>
              <w:tab/>
            </w:r>
            <w:r>
              <w:rPr>
                <w:rFonts w:hint="eastAsia"/>
                <w:sz w:val="24"/>
                <w:szCs w:val="24"/>
                <w:lang w:val="en-US" w:eastAsia="zh-CN"/>
              </w:rPr>
              <w:t>（元/个）</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restart"/>
            <w:noWrap w:val="0"/>
            <w:vAlign w:val="center"/>
          </w:tcPr>
          <w:p>
            <w:pPr>
              <w:jc w:val="center"/>
              <w:rPr>
                <w:rFonts w:hint="eastAsia" w:eastAsia="宋体"/>
                <w:sz w:val="24"/>
                <w:szCs w:val="24"/>
                <w:lang w:val="en-US" w:eastAsia="zh-CN"/>
              </w:rPr>
            </w:pPr>
            <w:r>
              <w:rPr>
                <w:rFonts w:hint="eastAsia"/>
                <w:sz w:val="24"/>
                <w:szCs w:val="24"/>
                <w:lang w:val="en-US" w:eastAsia="zh-CN"/>
              </w:rPr>
              <w:t>3</w:t>
            </w:r>
          </w:p>
        </w:tc>
        <w:tc>
          <w:tcPr>
            <w:tcW w:w="772" w:type="pct"/>
            <w:vMerge w:val="restart"/>
            <w:noWrap w:val="0"/>
            <w:vAlign w:val="center"/>
          </w:tcPr>
          <w:p>
            <w:pPr>
              <w:jc w:val="center"/>
              <w:rPr>
                <w:rFonts w:hint="eastAsia" w:ascii="宋体" w:hAnsi="宋体"/>
                <w:b/>
                <w:color w:val="000000"/>
                <w:sz w:val="24"/>
                <w:szCs w:val="24"/>
              </w:rPr>
            </w:pPr>
            <w:r>
              <w:rPr>
                <w:rFonts w:hint="eastAsia" w:ascii="宋体" w:hAnsi="宋体"/>
                <w:sz w:val="24"/>
                <w:szCs w:val="24"/>
              </w:rPr>
              <w:t>中套压浆</w:t>
            </w: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（元/个）</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continue"/>
            <w:noWrap w:val="0"/>
            <w:vAlign w:val="center"/>
          </w:tcPr>
          <w:p>
            <w:pPr>
              <w:jc w:val="center"/>
              <w:rPr>
                <w:rFonts w:hint="eastAsia"/>
                <w:sz w:val="24"/>
                <w:szCs w:val="24"/>
              </w:rPr>
            </w:pPr>
          </w:p>
        </w:tc>
        <w:tc>
          <w:tcPr>
            <w:tcW w:w="772" w:type="pct"/>
            <w:vMerge w:val="continue"/>
            <w:noWrap w:val="0"/>
            <w:vAlign w:val="center"/>
          </w:tcPr>
          <w:p>
            <w:pPr>
              <w:jc w:val="center"/>
              <w:rPr>
                <w:rFonts w:hint="eastAsia" w:ascii="宋体" w:hAnsi="宋体"/>
                <w:b/>
                <w:color w:val="000000"/>
                <w:sz w:val="24"/>
                <w:szCs w:val="24"/>
              </w:rPr>
            </w:pP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（元/个）</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restart"/>
            <w:noWrap w:val="0"/>
            <w:vAlign w:val="center"/>
          </w:tcPr>
          <w:p>
            <w:pPr>
              <w:jc w:val="center"/>
              <w:rPr>
                <w:rFonts w:hint="eastAsia" w:eastAsia="宋体"/>
                <w:sz w:val="24"/>
                <w:szCs w:val="24"/>
                <w:lang w:val="en-US" w:eastAsia="zh-CN"/>
              </w:rPr>
            </w:pPr>
            <w:r>
              <w:rPr>
                <w:rFonts w:hint="eastAsia"/>
                <w:sz w:val="24"/>
                <w:szCs w:val="24"/>
                <w:lang w:val="en-US" w:eastAsia="zh-CN"/>
              </w:rPr>
              <w:t>4</w:t>
            </w:r>
          </w:p>
        </w:tc>
        <w:tc>
          <w:tcPr>
            <w:tcW w:w="772" w:type="pct"/>
            <w:vMerge w:val="restart"/>
            <w:noWrap w:val="0"/>
            <w:vAlign w:val="center"/>
          </w:tcPr>
          <w:p>
            <w:pPr>
              <w:jc w:val="center"/>
              <w:rPr>
                <w:rFonts w:hint="eastAsia" w:ascii="宋体" w:hAnsi="宋体"/>
                <w:b/>
                <w:color w:val="000000"/>
                <w:sz w:val="24"/>
                <w:szCs w:val="24"/>
              </w:rPr>
            </w:pPr>
            <w:r>
              <w:rPr>
                <w:rFonts w:hint="eastAsia" w:ascii="宋体" w:hAnsi="宋体"/>
                <w:sz w:val="24"/>
                <w:szCs w:val="24"/>
              </w:rPr>
              <w:t>DN32金属</w:t>
            </w:r>
            <w:r>
              <w:rPr>
                <w:rFonts w:hint="eastAsia" w:ascii="宋体" w:hAnsi="宋体"/>
                <w:sz w:val="24"/>
                <w:szCs w:val="24"/>
                <w:lang w:val="en-US" w:eastAsia="zh-CN"/>
              </w:rPr>
              <w:t>软</w:t>
            </w:r>
            <w:r>
              <w:rPr>
                <w:rFonts w:hint="eastAsia" w:ascii="宋体" w:hAnsi="宋体"/>
                <w:sz w:val="24"/>
                <w:szCs w:val="24"/>
              </w:rPr>
              <w:t>管及球阀</w:t>
            </w: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（元/套）</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continue"/>
            <w:noWrap w:val="0"/>
            <w:vAlign w:val="center"/>
          </w:tcPr>
          <w:p>
            <w:pPr>
              <w:jc w:val="center"/>
              <w:rPr>
                <w:rFonts w:hint="eastAsia"/>
                <w:sz w:val="24"/>
                <w:szCs w:val="24"/>
              </w:rPr>
            </w:pPr>
          </w:p>
        </w:tc>
        <w:tc>
          <w:tcPr>
            <w:tcW w:w="772" w:type="pct"/>
            <w:vMerge w:val="continue"/>
            <w:noWrap w:val="0"/>
            <w:vAlign w:val="center"/>
          </w:tcPr>
          <w:p>
            <w:pPr>
              <w:jc w:val="center"/>
              <w:rPr>
                <w:rFonts w:hint="eastAsia" w:ascii="宋体" w:hAnsi="宋体"/>
                <w:b/>
                <w:color w:val="000000"/>
                <w:sz w:val="24"/>
                <w:szCs w:val="24"/>
              </w:rPr>
            </w:pPr>
          </w:p>
        </w:tc>
        <w:tc>
          <w:tcPr>
            <w:tcW w:w="2880" w:type="pct"/>
            <w:noWrap w:val="0"/>
            <w:vAlign w:val="top"/>
          </w:tcPr>
          <w:p>
            <w:pPr>
              <w:jc w:val="left"/>
              <w:rPr>
                <w:rFonts w:hint="eastAsia"/>
                <w:sz w:val="24"/>
                <w:szCs w:val="24"/>
              </w:rPr>
            </w:pPr>
          </w:p>
          <w:p>
            <w:pPr>
              <w:tabs>
                <w:tab w:val="left" w:pos="3800"/>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（元/套）</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8" w:type="pct"/>
            <w:vMerge w:val="restart"/>
            <w:noWrap w:val="0"/>
            <w:vAlign w:val="center"/>
          </w:tcPr>
          <w:p>
            <w:pPr>
              <w:jc w:val="center"/>
              <w:rPr>
                <w:rFonts w:hint="eastAsia" w:eastAsia="宋体"/>
                <w:sz w:val="24"/>
                <w:szCs w:val="24"/>
                <w:lang w:val="en-US" w:eastAsia="zh-CN"/>
              </w:rPr>
            </w:pPr>
            <w:r>
              <w:rPr>
                <w:rFonts w:hint="eastAsia"/>
                <w:sz w:val="24"/>
                <w:szCs w:val="24"/>
                <w:lang w:val="en-US" w:eastAsia="zh-CN"/>
              </w:rPr>
              <w:t>5</w:t>
            </w:r>
          </w:p>
        </w:tc>
        <w:tc>
          <w:tcPr>
            <w:tcW w:w="772"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000000"/>
                <w:sz w:val="24"/>
                <w:szCs w:val="24"/>
                <w:lang w:eastAsia="zh-CN"/>
              </w:rPr>
              <w:t>合计总价</w:t>
            </w: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（元）</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8" w:type="pct"/>
            <w:vMerge w:val="continue"/>
            <w:noWrap w:val="0"/>
            <w:vAlign w:val="center"/>
          </w:tcPr>
          <w:p>
            <w:pPr>
              <w:jc w:val="center"/>
              <w:rPr>
                <w:rFonts w:hint="eastAsia"/>
                <w:sz w:val="24"/>
                <w:szCs w:val="24"/>
              </w:rPr>
            </w:pPr>
          </w:p>
        </w:tc>
        <w:tc>
          <w:tcPr>
            <w:tcW w:w="772" w:type="pct"/>
            <w:vMerge w:val="continue"/>
            <w:noWrap w:val="0"/>
            <w:vAlign w:val="center"/>
          </w:tcPr>
          <w:p>
            <w:pPr>
              <w:jc w:val="center"/>
              <w:rPr>
                <w:rFonts w:hint="eastAsia" w:ascii="宋体" w:hAnsi="宋体"/>
                <w:b/>
                <w:color w:val="000000"/>
                <w:sz w:val="24"/>
                <w:szCs w:val="24"/>
              </w:rPr>
            </w:pPr>
          </w:p>
        </w:tc>
        <w:tc>
          <w:tcPr>
            <w:tcW w:w="2880"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（元）</w:t>
            </w:r>
          </w:p>
        </w:tc>
        <w:tc>
          <w:tcPr>
            <w:tcW w:w="1018"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000" w:type="pct"/>
            <w:gridSpan w:val="4"/>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4"/>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abstractNum w:abstractNumId="9">
    <w:nsid w:val="7D3D90AD"/>
    <w:multiLevelType w:val="singleLevel"/>
    <w:tmpl w:val="7D3D90AD"/>
    <w:lvl w:ilvl="0" w:tentative="0">
      <w:start w:val="1"/>
      <w:numFmt w:val="decimal"/>
      <w:suff w:val="nothing"/>
      <w:lvlText w:val="（%1）"/>
      <w:lvlJc w:val="left"/>
      <w:pPr>
        <w:ind w:left="481" w:leftChars="0" w:firstLine="0" w:firstLineChars="0"/>
      </w:p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6CD0957"/>
    <w:rsid w:val="075D347C"/>
    <w:rsid w:val="076B286F"/>
    <w:rsid w:val="07BA48CA"/>
    <w:rsid w:val="0831406E"/>
    <w:rsid w:val="085B58B3"/>
    <w:rsid w:val="08A96692"/>
    <w:rsid w:val="0B5E1A54"/>
    <w:rsid w:val="0BFF25BD"/>
    <w:rsid w:val="0CBC295F"/>
    <w:rsid w:val="0D2F279C"/>
    <w:rsid w:val="0DF07D84"/>
    <w:rsid w:val="0E473B34"/>
    <w:rsid w:val="0E497616"/>
    <w:rsid w:val="0E842CB1"/>
    <w:rsid w:val="0F0803D8"/>
    <w:rsid w:val="0F347211"/>
    <w:rsid w:val="0FF92A60"/>
    <w:rsid w:val="10CA64E1"/>
    <w:rsid w:val="110928F7"/>
    <w:rsid w:val="11654D47"/>
    <w:rsid w:val="13147361"/>
    <w:rsid w:val="135C10D5"/>
    <w:rsid w:val="139F3DA1"/>
    <w:rsid w:val="13D576D7"/>
    <w:rsid w:val="14772C2B"/>
    <w:rsid w:val="14881933"/>
    <w:rsid w:val="154D48F1"/>
    <w:rsid w:val="158A4695"/>
    <w:rsid w:val="16541AFE"/>
    <w:rsid w:val="1694444C"/>
    <w:rsid w:val="17131114"/>
    <w:rsid w:val="1724223F"/>
    <w:rsid w:val="176A7E91"/>
    <w:rsid w:val="17F97F08"/>
    <w:rsid w:val="181D079B"/>
    <w:rsid w:val="184123DC"/>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0A256AD"/>
    <w:rsid w:val="21133B37"/>
    <w:rsid w:val="21534F77"/>
    <w:rsid w:val="21A2160C"/>
    <w:rsid w:val="21E966E6"/>
    <w:rsid w:val="22B96773"/>
    <w:rsid w:val="22E00851"/>
    <w:rsid w:val="235C23EB"/>
    <w:rsid w:val="23CB766B"/>
    <w:rsid w:val="23D22DCD"/>
    <w:rsid w:val="246A25A2"/>
    <w:rsid w:val="25206CD2"/>
    <w:rsid w:val="25230E4D"/>
    <w:rsid w:val="25B129B0"/>
    <w:rsid w:val="268D7081"/>
    <w:rsid w:val="269D4ADA"/>
    <w:rsid w:val="26F50CB1"/>
    <w:rsid w:val="26F906B4"/>
    <w:rsid w:val="278055FF"/>
    <w:rsid w:val="288D3DC5"/>
    <w:rsid w:val="28E2171B"/>
    <w:rsid w:val="29401D6D"/>
    <w:rsid w:val="2AF17F5F"/>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7F2F2C"/>
    <w:rsid w:val="3A3F65BD"/>
    <w:rsid w:val="3A4A65B1"/>
    <w:rsid w:val="3A773720"/>
    <w:rsid w:val="3AFC391A"/>
    <w:rsid w:val="3B080827"/>
    <w:rsid w:val="3B14535E"/>
    <w:rsid w:val="3C3E683E"/>
    <w:rsid w:val="3C456A69"/>
    <w:rsid w:val="3C487023"/>
    <w:rsid w:val="3C887586"/>
    <w:rsid w:val="3D5A40AB"/>
    <w:rsid w:val="3DB441B2"/>
    <w:rsid w:val="3DD2066D"/>
    <w:rsid w:val="3DD452AF"/>
    <w:rsid w:val="3DD967AA"/>
    <w:rsid w:val="3E371640"/>
    <w:rsid w:val="3E66724B"/>
    <w:rsid w:val="3E977DE0"/>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C0533F"/>
    <w:rsid w:val="47847BD9"/>
    <w:rsid w:val="47AD4330"/>
    <w:rsid w:val="47BE1284"/>
    <w:rsid w:val="48582775"/>
    <w:rsid w:val="48E1049E"/>
    <w:rsid w:val="49280B38"/>
    <w:rsid w:val="492C5B3D"/>
    <w:rsid w:val="49A4783E"/>
    <w:rsid w:val="4A85340F"/>
    <w:rsid w:val="4ACE7F4F"/>
    <w:rsid w:val="4AED65F2"/>
    <w:rsid w:val="4B635392"/>
    <w:rsid w:val="4BA21255"/>
    <w:rsid w:val="4DC66F68"/>
    <w:rsid w:val="4E157235"/>
    <w:rsid w:val="514F2EE0"/>
    <w:rsid w:val="51A458AF"/>
    <w:rsid w:val="52E54E97"/>
    <w:rsid w:val="52EE0AE7"/>
    <w:rsid w:val="536967A8"/>
    <w:rsid w:val="53AB6FFE"/>
    <w:rsid w:val="554C057B"/>
    <w:rsid w:val="56065626"/>
    <w:rsid w:val="562E1D47"/>
    <w:rsid w:val="566E6D8E"/>
    <w:rsid w:val="56FF0A43"/>
    <w:rsid w:val="57AC75B3"/>
    <w:rsid w:val="57D705F2"/>
    <w:rsid w:val="57E13E87"/>
    <w:rsid w:val="57F27FDC"/>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7FA67CD"/>
    <w:rsid w:val="686F59C5"/>
    <w:rsid w:val="68985C4A"/>
    <w:rsid w:val="68BB275A"/>
    <w:rsid w:val="68CD7E6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B55491"/>
    <w:rsid w:val="79DE1204"/>
    <w:rsid w:val="7A447EB1"/>
    <w:rsid w:val="7A6263B1"/>
    <w:rsid w:val="7A757773"/>
    <w:rsid w:val="7ADF17B7"/>
    <w:rsid w:val="7AEB0EA5"/>
    <w:rsid w:val="7AF9718A"/>
    <w:rsid w:val="7B386B42"/>
    <w:rsid w:val="7BBC102F"/>
    <w:rsid w:val="7BBE20B8"/>
    <w:rsid w:val="7BD509C2"/>
    <w:rsid w:val="7BDC0741"/>
    <w:rsid w:val="7C070CDC"/>
    <w:rsid w:val="7C9625E2"/>
    <w:rsid w:val="7D0716F9"/>
    <w:rsid w:val="7D2A47F3"/>
    <w:rsid w:val="7F2E3F67"/>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2021-02-18T06:12:36Z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