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36"/>
          <w:szCs w:val="36"/>
        </w:rPr>
      </w:pPr>
      <w:r>
        <w:rPr>
          <w:rFonts w:hint="default" w:ascii="宋体" w:hAnsi="宋体"/>
          <w:b/>
          <w:sz w:val="36"/>
          <w:szCs w:val="36"/>
          <w:lang w:val="en-US" w:eastAsia="zh-CN"/>
        </w:rPr>
        <w:t>六项机制管理系统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20</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AQJC</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00</w:t>
      </w:r>
      <w:r>
        <w:rPr>
          <w:rFonts w:hint="eastAsia" w:ascii="宋体" w:hAnsi="宋体"/>
          <w:color w:val="000000"/>
          <w:sz w:val="24"/>
          <w:szCs w:val="24"/>
          <w:lang w:val="en-US" w:eastAsia="zh-CN"/>
        </w:rPr>
        <w:t>7LXJZGLXT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六项机制管理系统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研究院</w:t>
      </w:r>
      <w:r>
        <w:rPr>
          <w:rFonts w:hint="eastAsia" w:ascii="宋体" w:hAnsi="宋体"/>
          <w:sz w:val="24"/>
          <w:szCs w:val="24"/>
        </w:rPr>
        <w:t xml:space="preserve">：        </w:t>
      </w:r>
      <w:r>
        <w:rPr>
          <w:rFonts w:hint="eastAsia" w:ascii="宋体" w:hAnsi="宋体"/>
          <w:sz w:val="24"/>
          <w:szCs w:val="24"/>
          <w:lang w:eastAsia="zh-CN"/>
        </w:rPr>
        <w:t>江连峰</w:t>
      </w:r>
      <w:r>
        <w:rPr>
          <w:rFonts w:hint="eastAsia" w:ascii="宋体" w:hAnsi="宋体"/>
          <w:sz w:val="24"/>
          <w:szCs w:val="24"/>
          <w:lang w:val="en-US" w:eastAsia="zh-CN"/>
        </w:rPr>
        <w:t xml:space="preserve">    18955372628</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安全监察部：    徐艳      13195536618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sz w:val="24"/>
          <w:szCs w:val="24"/>
          <w:u w:val="single"/>
          <w:lang w:val="en-US" w:eastAsia="zh-CN"/>
        </w:rPr>
        <w:t>26</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3</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bookmarkStart w:id="0" w:name="_GoBack"/>
      <w:r>
        <w:rPr>
          <w:rFonts w:hint="eastAsia" w:ascii="宋体" w:hAnsi="宋体"/>
          <w:sz w:val="24"/>
          <w:szCs w:val="24"/>
        </w:rPr>
        <w:t>芜湖市三山区春洲路2号</w:t>
      </w:r>
      <w:bookmarkEnd w:id="0"/>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26</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1438" w:leftChars="456" w:hanging="480" w:hangingChars="200"/>
        <w:textAlignment w:val="auto"/>
        <w:rPr>
          <w:rFonts w:hint="eastAsia" w:ascii="宋体" w:hAnsi="宋体"/>
          <w:sz w:val="24"/>
          <w:szCs w:val="22"/>
          <w:lang w:val="en-US" w:eastAsia="zh-CN"/>
        </w:rPr>
      </w:pPr>
      <w:r>
        <w:rPr>
          <w:rFonts w:hint="eastAsia" w:ascii="宋体" w:hAnsi="宋体"/>
          <w:sz w:val="24"/>
          <w:szCs w:val="24"/>
        </w:rPr>
        <w:t>1、</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lang w:val="en-US" w:eastAsia="zh-CN"/>
        </w:rPr>
        <w:t>安装调试完毕验收合格后付60%，正常运行三个月后付30%，质保10%一年无异议后付清。</w:t>
      </w:r>
    </w:p>
    <w:p>
      <w:pPr>
        <w:spacing w:line="440" w:lineRule="exact"/>
        <w:ind w:firstLine="960" w:firstLineChars="400"/>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六项机制管理系统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六项机制管理系统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满足《六项机制管理系统》的技术要求</w:t>
      </w:r>
      <w:r>
        <w:rPr>
          <w:rFonts w:hint="eastAsia"/>
          <w:sz w:val="24"/>
          <w:szCs w:val="24"/>
        </w:rPr>
        <w:t>。</w:t>
      </w:r>
    </w:p>
    <w:p>
      <w:pPr>
        <w:numPr>
          <w:ilvl w:val="0"/>
          <w:numId w:val="8"/>
        </w:numPr>
        <w:tabs>
          <w:tab w:val="left" w:pos="2680"/>
        </w:tabs>
        <w:ind w:left="0" w:leftChars="0" w:firstLine="480" w:firstLineChars="200"/>
        <w:jc w:val="left"/>
        <w:rPr>
          <w:rFonts w:hint="eastAsia"/>
          <w:sz w:val="24"/>
          <w:szCs w:val="24"/>
          <w:lang w:eastAsia="zh-CN"/>
        </w:rPr>
      </w:pP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后方可报</w:t>
      </w:r>
    </w:p>
    <w:p>
      <w:pPr>
        <w:numPr>
          <w:numId w:val="0"/>
        </w:numPr>
        <w:tabs>
          <w:tab w:val="left" w:pos="2680"/>
        </w:tabs>
        <w:ind w:firstLine="720" w:firstLineChars="300"/>
        <w:jc w:val="left"/>
        <w:rPr>
          <w:rFonts w:hint="eastAsia"/>
          <w:sz w:val="24"/>
          <w:szCs w:val="24"/>
          <w:lang w:eastAsia="zh-CN"/>
        </w:rPr>
      </w:pPr>
      <w:r>
        <w:rPr>
          <w:rFonts w:hint="eastAsia"/>
          <w:sz w:val="24"/>
          <w:szCs w:val="24"/>
          <w:lang w:eastAsia="zh-CN"/>
        </w:rPr>
        <w:t>名。</w:t>
      </w:r>
    </w:p>
    <w:p>
      <w:pPr>
        <w:numPr>
          <w:ilvl w:val="0"/>
          <w:numId w:val="8"/>
        </w:numPr>
        <w:tabs>
          <w:tab w:val="left" w:pos="2680"/>
        </w:tabs>
        <w:ind w:left="0" w:leftChars="0" w:firstLine="480" w:firstLineChars="200"/>
        <w:jc w:val="left"/>
        <w:rPr>
          <w:rFonts w:hint="eastAsia"/>
          <w:sz w:val="24"/>
          <w:szCs w:val="24"/>
          <w:lang w:val="en-US" w:eastAsia="zh-CN"/>
        </w:rPr>
      </w:pPr>
      <w:r>
        <w:rPr>
          <w:rFonts w:hint="eastAsia" w:ascii="宋体" w:hAnsi="宋体"/>
          <w:sz w:val="24"/>
          <w:szCs w:val="22"/>
          <w:lang w:val="en-US" w:eastAsia="zh-CN"/>
        </w:rPr>
        <w:t>供货单位负责设备的指导安装、调试和人员培训工作，并承担相关费用</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宋体"/>
          <w:sz w:val="24"/>
          <w:szCs w:val="24"/>
          <w:lang w:val="en-US" w:eastAsia="zh-CN"/>
        </w:rPr>
        <w:t>厂家报价表统一采用我公司提供的“报价明细表”</w:t>
      </w:r>
      <w:r>
        <w:rPr>
          <w:rFonts w:hint="eastAsia" w:ascii="仿宋" w:hAnsi="仿宋" w:eastAsia="仿宋" w:cs="仿宋"/>
          <w:sz w:val="21"/>
          <w:szCs w:val="21"/>
          <w:lang w:val="en-US" w:eastAsia="zh-CN"/>
        </w:rPr>
        <w:t>。</w:t>
      </w:r>
    </w:p>
    <w:p>
      <w:pPr>
        <w:numPr>
          <w:ilvl w:val="0"/>
          <w:numId w:val="0"/>
        </w:numPr>
        <w:spacing w:line="240" w:lineRule="atLeast"/>
        <w:rPr>
          <w:rFonts w:hint="eastAsia" w:ascii="宋体" w:hAnsi="宋体" w:eastAsia="宋体" w:cs="宋体"/>
          <w:sz w:val="24"/>
          <w:szCs w:val="24"/>
          <w:lang w:eastAsia="zh-CN"/>
        </w:rPr>
      </w:pP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pgBorders>
            <w:top w:val="none" w:sz="0" w:space="0"/>
            <w:left w:val="none" w:sz="0" w:space="0"/>
            <w:bottom w:val="none" w:sz="0" w:space="0"/>
            <w:right w:val="none" w:sz="0" w:space="0"/>
          </w:pgBorders>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W w:w="13765" w:type="dxa"/>
        <w:tblInd w:w="0" w:type="dxa"/>
        <w:shd w:val="clear"/>
        <w:tblLayout w:type="fixed"/>
        <w:tblCellMar>
          <w:top w:w="0" w:type="dxa"/>
          <w:left w:w="0" w:type="dxa"/>
          <w:bottom w:w="0" w:type="dxa"/>
          <w:right w:w="0" w:type="dxa"/>
        </w:tblCellMar>
      </w:tblPr>
      <w:tblGrid>
        <w:gridCol w:w="1080"/>
        <w:gridCol w:w="2325"/>
        <w:gridCol w:w="1395"/>
        <w:gridCol w:w="729"/>
        <w:gridCol w:w="936"/>
        <w:gridCol w:w="591"/>
        <w:gridCol w:w="941"/>
        <w:gridCol w:w="859"/>
        <w:gridCol w:w="1323"/>
        <w:gridCol w:w="1145"/>
        <w:gridCol w:w="1555"/>
        <w:gridCol w:w="886"/>
      </w:tblGrid>
      <w:tr>
        <w:tblPrEx>
          <w:shd w:val="clear"/>
          <w:tblCellMar>
            <w:top w:w="0" w:type="dxa"/>
            <w:left w:w="0" w:type="dxa"/>
            <w:bottom w:w="0" w:type="dxa"/>
            <w:right w:w="0" w:type="dxa"/>
          </w:tblCellMar>
        </w:tblPrEx>
        <w:trPr>
          <w:trHeight w:val="450" w:hRule="atLeast"/>
        </w:trPr>
        <w:tc>
          <w:tcPr>
            <w:tcW w:w="13765" w:type="dxa"/>
            <w:gridSpan w:val="1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六项机制管理系统报价明细表</w:t>
            </w:r>
          </w:p>
        </w:tc>
      </w:tr>
      <w:tr>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序号</w:t>
            </w:r>
          </w:p>
        </w:tc>
        <w:tc>
          <w:tcPr>
            <w:tcW w:w="23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名称</w:t>
            </w:r>
          </w:p>
        </w:tc>
        <w:tc>
          <w:tcPr>
            <w:tcW w:w="13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规格型号或图号</w:t>
            </w:r>
          </w:p>
        </w:tc>
        <w:tc>
          <w:tcPr>
            <w:tcW w:w="72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材质</w:t>
            </w:r>
          </w:p>
        </w:tc>
        <w:tc>
          <w:tcPr>
            <w:tcW w:w="93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单位</w:t>
            </w:r>
          </w:p>
        </w:tc>
        <w:tc>
          <w:tcPr>
            <w:tcW w:w="59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w:t>
            </w: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w:t>
            </w:r>
            <w:r>
              <w:rPr>
                <w:rFonts w:hint="default" w:ascii="Times New Roman" w:hAnsi="Times New Roman" w:eastAsia="宋体" w:cs="Times New Roman"/>
                <w:i w:val="0"/>
                <w:color w:val="000000"/>
                <w:kern w:val="0"/>
                <w:sz w:val="24"/>
                <w:szCs w:val="24"/>
                <w:u w:val="none"/>
                <w:bdr w:val="none" w:color="auto" w:sz="0" w:space="0"/>
                <w:lang w:val="en-US" w:eastAsia="zh-CN" w:bidi="ar"/>
              </w:rPr>
              <w:t xml:space="preserve"> </w:t>
            </w:r>
            <w:r>
              <w:rPr>
                <w:rFonts w:hint="eastAsia" w:ascii="宋体" w:hAnsi="宋体" w:eastAsia="宋体" w:cs="宋体"/>
                <w:i w:val="0"/>
                <w:color w:val="000000"/>
                <w:kern w:val="0"/>
                <w:sz w:val="24"/>
                <w:szCs w:val="24"/>
                <w:u w:val="none"/>
                <w:bdr w:val="none" w:color="auto" w:sz="0" w:space="0"/>
                <w:lang w:val="en-US" w:eastAsia="zh-CN" w:bidi="ar"/>
              </w:rPr>
              <w:t>重</w:t>
            </w: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总</w:t>
            </w:r>
            <w:r>
              <w:rPr>
                <w:rFonts w:hint="default" w:ascii="Times New Roman" w:hAnsi="Times New Roman" w:eastAsia="宋体" w:cs="Times New Roman"/>
                <w:i w:val="0"/>
                <w:color w:val="000000"/>
                <w:kern w:val="0"/>
                <w:sz w:val="24"/>
                <w:szCs w:val="24"/>
                <w:u w:val="none"/>
                <w:bdr w:val="none" w:color="auto" w:sz="0" w:space="0"/>
                <w:lang w:val="en-US" w:eastAsia="zh-CN" w:bidi="ar"/>
              </w:rPr>
              <w:t xml:space="preserve">  </w:t>
            </w:r>
            <w:r>
              <w:rPr>
                <w:rFonts w:hint="eastAsia" w:ascii="宋体" w:hAnsi="宋体" w:eastAsia="宋体" w:cs="宋体"/>
                <w:i w:val="0"/>
                <w:color w:val="000000"/>
                <w:kern w:val="0"/>
                <w:sz w:val="24"/>
                <w:szCs w:val="24"/>
                <w:u w:val="none"/>
                <w:bdr w:val="none" w:color="auto" w:sz="0" w:space="0"/>
                <w:lang w:val="en-US" w:eastAsia="zh-CN" w:bidi="ar"/>
              </w:rPr>
              <w:t>重</w:t>
            </w: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含税单价</w:t>
            </w: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含税总价</w:t>
            </w:r>
          </w:p>
        </w:tc>
        <w:tc>
          <w:tcPr>
            <w:tcW w:w="155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制造厂或品牌</w:t>
            </w:r>
          </w:p>
        </w:tc>
        <w:tc>
          <w:tcPr>
            <w:tcW w:w="886"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税率</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t>
            </w:r>
            <w:r>
              <w:rPr>
                <w:rFonts w:hint="default" w:ascii="Times New Roman" w:hAnsi="Times New Roman" w:eastAsia="宋体" w:cs="Times New Roman"/>
                <w:i w:val="0"/>
                <w:color w:val="000000"/>
                <w:kern w:val="0"/>
                <w:sz w:val="24"/>
                <w:szCs w:val="24"/>
                <w:u w:val="none"/>
                <w:bdr w:val="none" w:color="auto" w:sz="0" w:space="0"/>
                <w:lang w:val="en-US" w:eastAsia="zh-CN" w:bidi="ar"/>
              </w:rPr>
              <w:t>T</w:t>
            </w:r>
            <w:r>
              <w:rPr>
                <w:rFonts w:hint="eastAsia" w:ascii="宋体" w:hAnsi="宋体" w:eastAsia="宋体" w:cs="宋体"/>
                <w:i w:val="0"/>
                <w:color w:val="000000"/>
                <w:kern w:val="0"/>
                <w:sz w:val="24"/>
                <w:szCs w:val="24"/>
                <w:u w:val="none"/>
                <w:bdr w:val="none" w:color="auto" w:sz="0" w:space="0"/>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t>
            </w:r>
            <w:r>
              <w:rPr>
                <w:rFonts w:hint="default" w:ascii="Times New Roman" w:hAnsi="Times New Roman" w:eastAsia="宋体" w:cs="Times New Roman"/>
                <w:i w:val="0"/>
                <w:color w:val="000000"/>
                <w:kern w:val="0"/>
                <w:sz w:val="24"/>
                <w:szCs w:val="24"/>
                <w:u w:val="none"/>
                <w:bdr w:val="none" w:color="auto" w:sz="0" w:space="0"/>
                <w:lang w:val="en-US" w:eastAsia="zh-CN" w:bidi="ar"/>
              </w:rPr>
              <w:t>T</w:t>
            </w:r>
            <w:r>
              <w:rPr>
                <w:rFonts w:hint="eastAsia" w:ascii="宋体" w:hAnsi="宋体" w:eastAsia="宋体" w:cs="宋体"/>
                <w:i w:val="0"/>
                <w:color w:val="000000"/>
                <w:kern w:val="0"/>
                <w:sz w:val="24"/>
                <w:szCs w:val="24"/>
                <w:u w:val="none"/>
                <w:bdr w:val="none" w:color="auto" w:sz="0" w:space="0"/>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155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1"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一</w:t>
            </w:r>
          </w:p>
        </w:tc>
        <w:tc>
          <w:tcPr>
            <w:tcW w:w="2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六项机制管理系统</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eastAsia="宋体" w:cs="Times New Roman"/>
                <w:i w:val="0"/>
                <w:color w:val="000000"/>
                <w:sz w:val="24"/>
                <w:szCs w:val="24"/>
                <w:u w:val="none"/>
                <w:lang w:val="en-US" w:eastAsia="zh-CN"/>
              </w:rPr>
              <w:t>1</w:t>
            </w: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bdr w:val="none" w:color="auto" w:sz="0" w:space="0"/>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请各单位根据实际情况列出详细分项报价</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bdr w:val="none" w:color="auto" w:sz="0" w:space="0"/>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bdr w:val="none" w:color="auto" w:sz="0" w:space="0"/>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16"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含税含运费合计：</w:t>
            </w:r>
          </w:p>
        </w:tc>
        <w:tc>
          <w:tcPr>
            <w:tcW w:w="4592"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w:t>
            </w:r>
          </w:p>
        </w:tc>
        <w:tc>
          <w:tcPr>
            <w:tcW w:w="5768"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w:t>
            </w:r>
          </w:p>
        </w:tc>
      </w:tr>
      <w:tr>
        <w:tblPrEx>
          <w:tblCellMar>
            <w:top w:w="0" w:type="dxa"/>
            <w:left w:w="0" w:type="dxa"/>
            <w:bottom w:w="0" w:type="dxa"/>
            <w:right w:w="0" w:type="dxa"/>
          </w:tblCellMar>
        </w:tblPrEx>
        <w:trPr>
          <w:trHeight w:val="69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交货期（自然日）：</w:t>
            </w:r>
          </w:p>
        </w:tc>
        <w:tc>
          <w:tcPr>
            <w:tcW w:w="10360"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投标单位名称：</w:t>
            </w:r>
          </w:p>
        </w:tc>
        <w:tc>
          <w:tcPr>
            <w:tcW w:w="10360"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42"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公司公章：</w:t>
            </w:r>
          </w:p>
        </w:tc>
        <w:tc>
          <w:tcPr>
            <w:tcW w:w="10360"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82"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日期：</w:t>
            </w:r>
          </w:p>
        </w:tc>
        <w:tc>
          <w:tcPr>
            <w:tcW w:w="10360" w:type="dxa"/>
            <w:gridSpan w:val="10"/>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p>
      <w:pPr>
        <w:pStyle w:val="9"/>
        <w:widowControl/>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6118D8"/>
    <w:rsid w:val="26F50CB1"/>
    <w:rsid w:val="278055FF"/>
    <w:rsid w:val="27B66F98"/>
    <w:rsid w:val="288D3DC5"/>
    <w:rsid w:val="28E2171B"/>
    <w:rsid w:val="29401D6D"/>
    <w:rsid w:val="2B9A196C"/>
    <w:rsid w:val="2BF40243"/>
    <w:rsid w:val="2C204052"/>
    <w:rsid w:val="2C367199"/>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730C08"/>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84C5CCD"/>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50D17E8"/>
    <w:rsid w:val="76206BC5"/>
    <w:rsid w:val="778A5616"/>
    <w:rsid w:val="780E1C86"/>
    <w:rsid w:val="790532F9"/>
    <w:rsid w:val="797A02ED"/>
    <w:rsid w:val="79B23223"/>
    <w:rsid w:val="79DE1204"/>
    <w:rsid w:val="7A6263B1"/>
    <w:rsid w:val="7ADF17B7"/>
    <w:rsid w:val="7B1D1FA3"/>
    <w:rsid w:val="7B386B42"/>
    <w:rsid w:val="7BAB42B4"/>
    <w:rsid w:val="7BBC102F"/>
    <w:rsid w:val="7BD509C2"/>
    <w:rsid w:val="7C145FA4"/>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2021-02-20T02:55:16Z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