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碳化稻壳</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20</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LGLT</w:t>
      </w:r>
      <w:r>
        <w:rPr>
          <w:rFonts w:hint="eastAsia" w:ascii="宋体" w:hAnsi="宋体"/>
          <w:u w:val="single"/>
          <w:lang w:val="en-US" w:eastAsia="zh-CN"/>
        </w:rPr>
        <w:t>SC202102008THDK</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b/>
          <w:bCs/>
          <w:color w:val="FF0000"/>
          <w:sz w:val="28"/>
          <w:szCs w:val="28"/>
          <w:shd w:val="clear" w:color="auto" w:fill="FFFFFF"/>
          <w:lang w:val="en-US" w:eastAsia="zh-CN"/>
        </w:rPr>
        <w:t>碳化稻壳</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谢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18155336765</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26</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3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2</w:t>
      </w:r>
      <w:r>
        <w:rPr>
          <w:rFonts w:hint="eastAsia" w:ascii="宋体" w:hAnsi="宋体"/>
          <w:sz w:val="24"/>
          <w:szCs w:val="24"/>
          <w:u w:val="none"/>
          <w:lang w:val="en-US" w:eastAsia="zh-CN"/>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w:t>
      </w:r>
      <w:bookmarkStart w:id="0" w:name="_GoBack"/>
      <w:bookmarkEnd w:id="0"/>
      <w:r>
        <w:rPr>
          <w:rFonts w:hint="eastAsia" w:ascii="宋体" w:hAnsi="宋体"/>
        </w:rPr>
        <w:t>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 xml:space="preserve">2 </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26</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eastAsia="zh-CN"/>
        </w:rPr>
        <w:t>（</w:t>
      </w:r>
      <w:r>
        <w:rPr>
          <w:rFonts w:hint="eastAsia" w:ascii="宋体" w:hAnsi="宋体"/>
          <w:b/>
          <w:color w:val="FF0000"/>
          <w:sz w:val="24"/>
          <w:szCs w:val="24"/>
          <w:lang w:val="en-US" w:eastAsia="zh-CN"/>
        </w:rPr>
        <w:t>详见技术文件</w:t>
      </w:r>
      <w:r>
        <w:rPr>
          <w:rFonts w:hint="eastAsia" w:ascii="宋体" w:hAnsi="宋体"/>
          <w:b/>
          <w:color w:val="FF0000"/>
          <w:sz w:val="24"/>
          <w:szCs w:val="24"/>
          <w:lang w:eastAsia="zh-CN"/>
        </w:rPr>
        <w:t>）</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本次招标分两个标段：（1）碳化稻壳（小袋包装），数量为600吨；（2）碳化稻壳（小袋外套吨包），数量为600吨</w:t>
      </w:r>
      <w:r>
        <w:rPr>
          <w:rFonts w:hint="eastAsia" w:ascii="宋体" w:hAnsi="宋体"/>
          <w:b/>
          <w:color w:val="FF0000"/>
          <w:sz w:val="24"/>
          <w:szCs w:val="24"/>
          <w:lang w:val="en-US" w:eastAsia="zh-CN"/>
        </w:rPr>
        <w:t>。</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质量指标及扣款标准：C≥35%；SiO2≥35%；H2O≤3%；自然堆积密度≤130g/dm3；粒度：颗粒饱满，外表面均匀整齐而密集的布满鼓包，内部呈空心状态，碎粉≤5%.让步接收标准：C≥30%；SiO2≥30%；H2O≤5%；自然堆积密度≤160g/dm3。1、C超出标准在让步范围内，每降低1%，合同价格降2%；超出让步范围退货；2、SiO2超出标准在让步范围内，每降低1%，合同价格降2%；超出让步范围退货；3、H2O超出标准在让步范围内，每上升0.1%，合同价格降1%；超出让步范围退货；4、堆积密度超出标准在让步范围内，每上升1g/dm3，合同价格降0.5%；超出让步范围退货；5、碎粉超出标准,扣吨位结算，超出20%退货。</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包装要求：炼铁用碳化稻壳采取防潮小袋包装，炼钢用碳化稻壳采取防潮小袋外套吨袋包装。</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p>
    <w:p>
      <w:pPr>
        <w:numPr>
          <w:ilvl w:val="0"/>
          <w:numId w:val="9"/>
        </w:numPr>
        <w:spacing w:line="360" w:lineRule="auto"/>
        <w:ind w:left="963" w:leftChars="0" w:firstLine="0"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碳化稻壳（小袋包装）2400元/吨（大写：贰仟肆佰元每吨）；</w:t>
      </w:r>
    </w:p>
    <w:p>
      <w:pPr>
        <w:numPr>
          <w:ilvl w:val="0"/>
          <w:numId w:val="9"/>
        </w:numPr>
        <w:spacing w:line="360" w:lineRule="auto"/>
        <w:ind w:left="963" w:leftChars="0" w:firstLine="0" w:firstLineChars="0"/>
        <w:rPr>
          <w:rFonts w:hint="default" w:ascii="宋体" w:hAnsi="宋体"/>
          <w:b/>
          <w:color w:val="FF0000"/>
          <w:sz w:val="24"/>
          <w:szCs w:val="24"/>
          <w:lang w:val="en-US" w:eastAsia="zh-CN"/>
        </w:rPr>
      </w:pPr>
      <w:r>
        <w:rPr>
          <w:rFonts w:hint="eastAsia" w:ascii="宋体" w:hAnsi="宋体"/>
          <w:b/>
          <w:color w:val="FF0000"/>
          <w:sz w:val="24"/>
          <w:szCs w:val="24"/>
          <w:lang w:val="en-US" w:eastAsia="zh-CN"/>
        </w:rPr>
        <w:t>碳化稻壳（小袋包装外套吨包）2700元/吨（大写：贰仟柒佰元每吨）。</w:t>
      </w:r>
    </w:p>
    <w:p>
      <w:pPr>
        <w:numPr>
          <w:ilvl w:val="0"/>
          <w:numId w:val="0"/>
        </w:numPr>
        <w:spacing w:line="360" w:lineRule="auto"/>
        <w:ind w:firstLine="723" w:firstLineChars="300"/>
        <w:rPr>
          <w:rFonts w:hint="eastAsia" w:ascii="宋体" w:hAnsi="宋体"/>
          <w:b/>
          <w:color w:val="FF0000"/>
          <w:sz w:val="24"/>
          <w:szCs w:val="24"/>
        </w:rPr>
      </w:pPr>
      <w:r>
        <w:rPr>
          <w:rFonts w:hint="eastAsia" w:ascii="宋体" w:hAnsi="宋体"/>
          <w:b/>
          <w:color w:val="FF0000"/>
          <w:sz w:val="24"/>
          <w:szCs w:val="24"/>
        </w:rPr>
        <w:t>报价高于</w:t>
      </w:r>
      <w:r>
        <w:rPr>
          <w:rFonts w:hint="eastAsia" w:ascii="宋体" w:hAnsi="宋体"/>
          <w:b/>
          <w:color w:val="FF0000"/>
          <w:sz w:val="24"/>
          <w:szCs w:val="24"/>
          <w:lang w:val="en-US" w:eastAsia="zh-CN"/>
        </w:rPr>
        <w:t>以上</w:t>
      </w:r>
      <w:r>
        <w:rPr>
          <w:rFonts w:hint="eastAsia" w:ascii="宋体" w:hAnsi="宋体"/>
          <w:b/>
          <w:color w:val="FF0000"/>
          <w:sz w:val="24"/>
          <w:szCs w:val="24"/>
        </w:rPr>
        <w:t>最高投标限价的作废标处理。</w:t>
      </w:r>
    </w:p>
    <w:p>
      <w:pPr>
        <w:jc w:val="right"/>
        <w:rPr>
          <w:b/>
          <w:sz w:val="24"/>
          <w:szCs w:val="24"/>
        </w:rPr>
      </w:pPr>
    </w:p>
    <w:p>
      <w:pPr>
        <w:jc w:val="right"/>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b/>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jc w:val="center"/>
        <w:rPr>
          <w:rFonts w:hint="eastAsia"/>
          <w:b/>
          <w:color w:val="auto"/>
          <w:sz w:val="36"/>
          <w:szCs w:val="36"/>
          <w:u w:val="none" w:color="auto"/>
          <w:lang w:eastAsia="zh-CN"/>
        </w:rPr>
      </w:pPr>
      <w:r>
        <w:rPr>
          <w:rFonts w:hint="eastAsia"/>
          <w:b/>
          <w:color w:val="auto"/>
          <w:sz w:val="36"/>
          <w:szCs w:val="36"/>
          <w:u w:val="none" w:color="auto"/>
          <w:lang w:val="en-US" w:eastAsia="zh-CN"/>
        </w:rPr>
        <w:t>碳化稻壳质</w:t>
      </w:r>
      <w:r>
        <w:rPr>
          <w:rFonts w:hint="eastAsia"/>
          <w:b/>
          <w:color w:val="auto"/>
          <w:sz w:val="36"/>
          <w:szCs w:val="36"/>
          <w:u w:val="none" w:color="auto"/>
          <w:lang w:eastAsia="zh-CN"/>
        </w:rPr>
        <w:t>量标准技术统一平台</w:t>
      </w:r>
    </w:p>
    <w:p>
      <w:pPr>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1.范围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本标准规定了炼钢碳化稻壳的采购标准、让步接受条件、不合格处理及送货要求。</w:t>
      </w:r>
    </w:p>
    <w:p>
      <w:pPr>
        <w:keepNext w:val="0"/>
        <w:keepLines w:val="0"/>
        <w:pageBreakBefore w:val="0"/>
        <w:widowControl w:val="0"/>
        <w:numPr>
          <w:ilvl w:val="0"/>
          <w:numId w:val="10"/>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C%；H2O%；自然堆积密度、粒度：目测</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C≥35%；SiO2≥35%；H2O≤3%；自然堆积密度≤130g/dm3；粒度：颗粒饱满，外表面均匀整齐而密集的布满鼓包，内部呈空心状态</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2.3让步接受条件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C≥30%；SiO2≥30%；H2O≤5%；自然堆积密度≤160g/dm3</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2.4不合格处理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1、C超出标准在让步范围内，每降低1%，合同价格降2%；超出让步范围退货；</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2、SiO2超出标准在让步范围内，每降低1%，合同价格降2%；超出让步范围退货；</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3、H2O超出标准在让步范围内，每上升0.1%，合同价格降1%；超出让步范围退货；</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4、堆积密度超出标准在让步范围内，每上升1g/dm3，合同价格降0.5%；超出让步范围退货。</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w:t>
      </w:r>
      <w:r>
        <w:rPr>
          <w:rFonts w:hint="eastAsia"/>
          <w:b/>
          <w:bCs w:val="0"/>
          <w:color w:val="auto"/>
          <w:sz w:val="24"/>
          <w:szCs w:val="24"/>
          <w:u w:val="none" w:color="auto"/>
          <w:lang w:val="en-US" w:eastAsia="zh-CN"/>
        </w:rPr>
        <w:t>.送货要求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包装要求：采用吨袋包装，内为小袋包装。小袋袋装质量稳定，原则上为每袋5±0.5KG。小袋为双层包装，外为编织袋，内为塑料薄膜包装或单层厚塑料薄膜包装，做好防潮措施，包装袋上必须注明物资名称、生产厂家等信息。如包装重量发生变化，提前通知供货厂家并进行调整。包装袋供方不回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供方在供料过程中，必须配合需方监控部进行质量抽检，不得以任何形式组织或逃避需方的抽检，在抽检过程中，如供方出现较大质量问题，需方根据公司相关规章制度，由质量部组织调查，做出相应处理规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3、车队驾驶员要积极配合业主单位和质检单位对送货质量进行抽检。</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4、送货车辆必须具备相应安全资质，车辆在厂区内遵守我公司相关要求，违反规定按我司相应规定进行处理。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5、因厂家原因造成供货不及时导致炼钢生产断料的，视生产情况考核100-500元/次。</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6、因厂家吨包袋内上下质量明显不一致等造假行为的，我方有权对当批次碳化稻壳不予结账。</w:t>
      </w:r>
    </w:p>
    <w:p>
      <w:pPr>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4.卸货地点</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碳化稻壳卸至炼钢部库房。</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p>
    <w:p>
      <w:pPr>
        <w:jc w:val="both"/>
        <w:rPr>
          <w:rFonts w:hint="eastAsia"/>
          <w:b w:val="0"/>
          <w:bCs/>
          <w:color w:val="auto"/>
          <w:sz w:val="28"/>
          <w:szCs w:val="28"/>
          <w:u w:val="none" w:color="auto"/>
          <w:lang w:val="en-US" w:eastAsia="zh-CN"/>
        </w:rPr>
      </w:pPr>
    </w:p>
    <w:p>
      <w:pPr>
        <w:rPr>
          <w:rFonts w:hint="eastAsia" w:ascii="仿宋_GB2312" w:eastAsia="仿宋_GB2312"/>
          <w:sz w:val="28"/>
          <w:szCs w:val="28"/>
        </w:rPr>
      </w:pP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8" o:spt="75" type="#_x0000_t75" style="position:absolute;left:0pt;margin-left:20.05pt;margin-top:-1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b/>
          <w:bCs/>
          <w:color w:val="FF0000"/>
          <w:sz w:val="28"/>
          <w:szCs w:val="28"/>
          <w:u w:val="single"/>
          <w:shd w:val="clear" w:color="auto" w:fill="FFFFFF"/>
          <w:lang w:val="en-US" w:eastAsia="zh-CN"/>
        </w:rPr>
        <w:t>碳化稻壳</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230"/>
        <w:gridCol w:w="1210"/>
        <w:gridCol w:w="3858"/>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3"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680" w:type="pct"/>
            <w:noWrap w:val="0"/>
            <w:vAlign w:val="center"/>
          </w:tcPr>
          <w:p>
            <w:pPr>
              <w:jc w:val="center"/>
              <w:rPr>
                <w:rFonts w:hint="eastAsia"/>
                <w:sz w:val="18"/>
                <w:szCs w:val="18"/>
              </w:rPr>
            </w:pPr>
            <w:r>
              <w:rPr>
                <w:rFonts w:hint="eastAsia"/>
                <w:sz w:val="18"/>
                <w:szCs w:val="18"/>
              </w:rPr>
              <w:t>理论要求数量</w:t>
            </w:r>
          </w:p>
        </w:tc>
        <w:tc>
          <w:tcPr>
            <w:tcW w:w="2168" w:type="pct"/>
            <w:noWrap w:val="0"/>
            <w:vAlign w:val="center"/>
          </w:tcPr>
          <w:p>
            <w:pPr>
              <w:jc w:val="center"/>
              <w:rPr>
                <w:rFonts w:hint="eastAsia"/>
                <w:sz w:val="18"/>
                <w:szCs w:val="18"/>
              </w:rPr>
            </w:pPr>
            <w:r>
              <w:rPr>
                <w:rFonts w:hint="eastAsia"/>
                <w:sz w:val="18"/>
                <w:szCs w:val="18"/>
              </w:rPr>
              <w:t>含税、含运费报价（元/吨）</w:t>
            </w:r>
          </w:p>
        </w:tc>
        <w:tc>
          <w:tcPr>
            <w:tcW w:w="1126" w:type="pct"/>
            <w:noWrap w:val="0"/>
            <w:vAlign w:val="center"/>
          </w:tcPr>
          <w:p>
            <w:pPr>
              <w:jc w:val="center"/>
              <w:rPr>
                <w:rFonts w:hint="eastAsia"/>
                <w:sz w:val="18"/>
                <w:szCs w:val="18"/>
              </w:rPr>
            </w:pPr>
            <w:r>
              <w:rPr>
                <w:rFonts w:hint="eastAsia"/>
                <w:sz w:val="18"/>
                <w:szCs w:val="18"/>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33"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eastAsia" w:ascii="宋体" w:hAnsi="宋体" w:eastAsia="宋体"/>
                <w:b/>
                <w:color w:val="000000"/>
                <w:sz w:val="24"/>
                <w:szCs w:val="24"/>
                <w:lang w:eastAsia="zh-CN"/>
              </w:rPr>
            </w:pPr>
            <w:r>
              <w:rPr>
                <w:rFonts w:hint="eastAsia" w:ascii="宋体" w:hAnsi="宋体"/>
                <w:b/>
                <w:color w:val="FF0000"/>
                <w:sz w:val="24"/>
                <w:szCs w:val="24"/>
                <w:lang w:val="en-US" w:eastAsia="zh-CN"/>
              </w:rPr>
              <w:t>碳化稻壳（小袋包装）</w:t>
            </w:r>
          </w:p>
        </w:tc>
        <w:tc>
          <w:tcPr>
            <w:tcW w:w="680" w:type="pct"/>
            <w:vMerge w:val="restart"/>
            <w:noWrap w:val="0"/>
            <w:vAlign w:val="center"/>
          </w:tcPr>
          <w:p>
            <w:pPr>
              <w:jc w:val="center"/>
              <w:rPr>
                <w:rFonts w:hint="default" w:eastAsia="宋体"/>
                <w:sz w:val="24"/>
                <w:szCs w:val="24"/>
                <w:lang w:val="en-US" w:eastAsia="zh-CN"/>
              </w:rPr>
            </w:pPr>
            <w:r>
              <w:rPr>
                <w:rFonts w:hint="eastAsia"/>
                <w:sz w:val="24"/>
                <w:szCs w:val="24"/>
                <w:lang w:val="en-US" w:eastAsia="zh-CN"/>
              </w:rPr>
              <w:t>600吨</w:t>
            </w:r>
          </w:p>
        </w:tc>
        <w:tc>
          <w:tcPr>
            <w:tcW w:w="2168"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1126"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3"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680" w:type="pct"/>
            <w:vMerge w:val="continue"/>
            <w:noWrap w:val="0"/>
            <w:vAlign w:val="center"/>
          </w:tcPr>
          <w:p>
            <w:pPr>
              <w:jc w:val="center"/>
              <w:rPr>
                <w:rFonts w:hint="eastAsia"/>
                <w:sz w:val="24"/>
                <w:szCs w:val="24"/>
              </w:rPr>
            </w:pPr>
          </w:p>
        </w:tc>
        <w:tc>
          <w:tcPr>
            <w:tcW w:w="2168"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1126"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3" w:type="pct"/>
            <w:vMerge w:val="restart"/>
            <w:noWrap w:val="0"/>
            <w:vAlign w:val="center"/>
          </w:tcPr>
          <w:p>
            <w:pPr>
              <w:jc w:val="center"/>
              <w:rPr>
                <w:rFonts w:hint="eastAsia" w:eastAsia="宋体"/>
                <w:sz w:val="24"/>
                <w:szCs w:val="24"/>
                <w:lang w:val="en-US" w:eastAsia="zh-CN"/>
              </w:rPr>
            </w:pPr>
            <w:r>
              <w:rPr>
                <w:rFonts w:hint="eastAsia"/>
                <w:sz w:val="24"/>
                <w:szCs w:val="24"/>
                <w:lang w:val="en-US" w:eastAsia="zh-CN"/>
              </w:rPr>
              <w:t>2</w:t>
            </w:r>
          </w:p>
        </w:tc>
        <w:tc>
          <w:tcPr>
            <w:tcW w:w="691" w:type="pct"/>
            <w:vMerge w:val="restart"/>
            <w:noWrap w:val="0"/>
            <w:vAlign w:val="center"/>
          </w:tcPr>
          <w:p>
            <w:pPr>
              <w:jc w:val="center"/>
              <w:rPr>
                <w:rFonts w:hint="eastAsia" w:ascii="宋体" w:hAnsi="宋体"/>
                <w:b/>
                <w:color w:val="000000"/>
                <w:sz w:val="24"/>
                <w:szCs w:val="24"/>
              </w:rPr>
            </w:pPr>
            <w:r>
              <w:rPr>
                <w:rFonts w:hint="eastAsia" w:ascii="宋体" w:hAnsi="宋体"/>
                <w:b/>
                <w:color w:val="FF0000"/>
                <w:sz w:val="24"/>
                <w:szCs w:val="24"/>
                <w:lang w:val="en-US" w:eastAsia="zh-CN"/>
              </w:rPr>
              <w:t>碳化稻壳（小袋包装外套吨包）</w:t>
            </w:r>
          </w:p>
        </w:tc>
        <w:tc>
          <w:tcPr>
            <w:tcW w:w="680" w:type="pct"/>
            <w:vMerge w:val="restart"/>
            <w:noWrap w:val="0"/>
            <w:vAlign w:val="center"/>
          </w:tcPr>
          <w:p>
            <w:pPr>
              <w:jc w:val="center"/>
              <w:rPr>
                <w:rFonts w:hint="eastAsia"/>
                <w:sz w:val="24"/>
                <w:szCs w:val="24"/>
              </w:rPr>
            </w:pPr>
            <w:r>
              <w:rPr>
                <w:rFonts w:hint="eastAsia"/>
                <w:sz w:val="24"/>
                <w:szCs w:val="24"/>
                <w:lang w:val="en-US" w:eastAsia="zh-CN"/>
              </w:rPr>
              <w:t>600吨</w:t>
            </w:r>
          </w:p>
        </w:tc>
        <w:tc>
          <w:tcPr>
            <w:tcW w:w="2168" w:type="pct"/>
            <w:noWrap w:val="0"/>
            <w:vAlign w:val="top"/>
          </w:tcPr>
          <w:p>
            <w:pPr>
              <w:jc w:val="left"/>
              <w:rPr>
                <w:rFonts w:hint="eastAsia"/>
                <w:sz w:val="24"/>
                <w:szCs w:val="24"/>
              </w:rPr>
            </w:pPr>
          </w:p>
          <w:p>
            <w:pPr>
              <w:jc w:val="left"/>
              <w:rPr>
                <w:rFonts w:hint="eastAsia" w:ascii="Times New Roman" w:hAnsi="Times New Roman" w:eastAsia="宋体" w:cs="Times New Roman"/>
                <w:kern w:val="2"/>
                <w:sz w:val="24"/>
                <w:szCs w:val="24"/>
                <w:lang w:val="en-US" w:eastAsia="zh-CN" w:bidi="ar-SA"/>
              </w:rPr>
            </w:pPr>
            <w:r>
              <w:rPr>
                <w:rFonts w:hint="eastAsia"/>
                <w:sz w:val="24"/>
                <w:szCs w:val="24"/>
              </w:rPr>
              <w:t>小写：</w:t>
            </w:r>
          </w:p>
        </w:tc>
        <w:tc>
          <w:tcPr>
            <w:tcW w:w="1126"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3" w:type="pct"/>
            <w:vMerge w:val="continue"/>
            <w:tcBorders/>
            <w:noWrap w:val="0"/>
            <w:vAlign w:val="center"/>
          </w:tcPr>
          <w:p>
            <w:pPr>
              <w:jc w:val="center"/>
              <w:rPr>
                <w:rFonts w:hint="eastAsia"/>
                <w:sz w:val="24"/>
                <w:szCs w:val="24"/>
              </w:rPr>
            </w:pPr>
          </w:p>
        </w:tc>
        <w:tc>
          <w:tcPr>
            <w:tcW w:w="691" w:type="pct"/>
            <w:vMerge w:val="continue"/>
            <w:tcBorders/>
            <w:noWrap w:val="0"/>
            <w:vAlign w:val="center"/>
          </w:tcPr>
          <w:p>
            <w:pPr>
              <w:jc w:val="center"/>
              <w:rPr>
                <w:rFonts w:hint="eastAsia" w:ascii="宋体" w:hAnsi="宋体"/>
                <w:b/>
                <w:color w:val="000000"/>
                <w:sz w:val="24"/>
                <w:szCs w:val="24"/>
              </w:rPr>
            </w:pPr>
          </w:p>
        </w:tc>
        <w:tc>
          <w:tcPr>
            <w:tcW w:w="680" w:type="pct"/>
            <w:vMerge w:val="continue"/>
            <w:tcBorders/>
            <w:noWrap w:val="0"/>
            <w:vAlign w:val="center"/>
          </w:tcPr>
          <w:p>
            <w:pPr>
              <w:jc w:val="center"/>
              <w:rPr>
                <w:rFonts w:hint="eastAsia"/>
                <w:sz w:val="24"/>
                <w:szCs w:val="24"/>
              </w:rPr>
            </w:pPr>
          </w:p>
        </w:tc>
        <w:tc>
          <w:tcPr>
            <w:tcW w:w="2168" w:type="pct"/>
            <w:noWrap w:val="0"/>
            <w:vAlign w:val="top"/>
          </w:tcPr>
          <w:p>
            <w:pPr>
              <w:jc w:val="left"/>
              <w:rPr>
                <w:rFonts w:hint="eastAsia"/>
                <w:sz w:val="24"/>
                <w:szCs w:val="24"/>
              </w:rPr>
            </w:pPr>
          </w:p>
          <w:p>
            <w:pPr>
              <w:jc w:val="left"/>
              <w:rPr>
                <w:rFonts w:hint="eastAsia" w:ascii="Times New Roman" w:hAnsi="Times New Roman" w:eastAsia="宋体" w:cs="Times New Roman"/>
                <w:kern w:val="2"/>
                <w:sz w:val="24"/>
                <w:szCs w:val="24"/>
                <w:lang w:val="en-US" w:eastAsia="zh-CN" w:bidi="ar-SA"/>
              </w:rPr>
            </w:pPr>
            <w:r>
              <w:rPr>
                <w:rFonts w:hint="eastAsia"/>
                <w:sz w:val="24"/>
                <w:szCs w:val="24"/>
              </w:rPr>
              <w:t>大写：</w:t>
            </w:r>
          </w:p>
        </w:tc>
        <w:tc>
          <w:tcPr>
            <w:tcW w:w="1126" w:type="pct"/>
            <w:vMerge w:val="continue"/>
            <w:tcBorders/>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noWrap w:val="0"/>
            <w:vAlign w:val="top"/>
          </w:tcPr>
          <w:p>
            <w:pPr>
              <w:rPr>
                <w:rFonts w:hint="default" w:eastAsia="宋体"/>
                <w:sz w:val="28"/>
                <w:szCs w:val="28"/>
                <w:lang w:val="en-US" w:eastAsia="zh-CN"/>
              </w:rPr>
            </w:pPr>
            <w:r>
              <w:rPr>
                <w:rFonts w:hint="eastAsia"/>
                <w:sz w:val="28"/>
                <w:szCs w:val="28"/>
              </w:rPr>
              <w:t>备注: 以上报价含税、含运费，一票制</w:t>
            </w:r>
            <w:r>
              <w:rPr>
                <w:rFonts w:hint="eastAsia"/>
                <w:sz w:val="28"/>
                <w:szCs w:val="28"/>
                <w:lang w:eastAsia="zh-CN"/>
              </w:rPr>
              <w:t>，税率为</w:t>
            </w:r>
            <w:r>
              <w:rPr>
                <w:rFonts w:hint="eastAsia"/>
                <w:sz w:val="28"/>
                <w:szCs w:val="2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noWrap w:val="0"/>
            <w:vAlign w:val="top"/>
          </w:tcPr>
          <w:p>
            <w:pPr>
              <w:rPr>
                <w:rFonts w:hint="eastAsia"/>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9"/>
    <w:multiLevelType w:val="singleLevel"/>
    <w:tmpl w:val="00000009"/>
    <w:lvl w:ilvl="0" w:tentative="0">
      <w:start w:val="2"/>
      <w:numFmt w:val="decimal"/>
      <w:suff w:val="nothing"/>
      <w:lvlText w:val="%1."/>
      <w:lvlJc w:val="left"/>
    </w:lvl>
  </w:abstractNum>
  <w:abstractNum w:abstractNumId="3">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4">
    <w:nsid w:val="0000000B"/>
    <w:multiLevelType w:val="singleLevel"/>
    <w:tmpl w:val="0000000B"/>
    <w:lvl w:ilvl="0" w:tentative="0">
      <w:start w:val="1"/>
      <w:numFmt w:val="decimal"/>
      <w:lvlText w:val="（%1）"/>
      <w:lvlJc w:val="left"/>
      <w:pPr>
        <w:tabs>
          <w:tab w:val="left" w:pos="1125"/>
        </w:tabs>
        <w:ind w:left="1125" w:hanging="705"/>
      </w:pPr>
    </w:lvl>
  </w:abstractNum>
  <w:abstractNum w:abstractNumId="5">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7">
    <w:nsid w:val="0000000E"/>
    <w:multiLevelType w:val="singleLevel"/>
    <w:tmpl w:val="0000000E"/>
    <w:lvl w:ilvl="0" w:tentative="0">
      <w:start w:val="1"/>
      <w:numFmt w:val="decimal"/>
      <w:lvlText w:val="%1、"/>
      <w:lvlJc w:val="left"/>
      <w:pPr>
        <w:tabs>
          <w:tab w:val="left" w:pos="705"/>
        </w:tabs>
        <w:ind w:left="705" w:hanging="420"/>
      </w:pPr>
    </w:lvl>
  </w:abstractNum>
  <w:abstractNum w:abstractNumId="8">
    <w:nsid w:val="06741F82"/>
    <w:multiLevelType w:val="singleLevel"/>
    <w:tmpl w:val="06741F82"/>
    <w:lvl w:ilvl="0" w:tentative="0">
      <w:start w:val="1"/>
      <w:numFmt w:val="decimal"/>
      <w:suff w:val="nothing"/>
      <w:lvlText w:val="（%1）"/>
      <w:lvlJc w:val="left"/>
      <w:pPr>
        <w:ind w:left="963" w:leftChars="0" w:firstLine="0" w:firstLineChars="0"/>
      </w:pPr>
    </w:lvl>
  </w:abstractNum>
  <w:abstractNum w:abstractNumId="9">
    <w:nsid w:val="2C64BC62"/>
    <w:multiLevelType w:val="singleLevel"/>
    <w:tmpl w:val="2C64BC62"/>
    <w:lvl w:ilvl="0" w:tentative="0">
      <w:start w:val="1"/>
      <w:numFmt w:val="decimal"/>
      <w:lvlText w:val="%1."/>
      <w:lvlJc w:val="left"/>
      <w:pPr>
        <w:ind w:left="425" w:hanging="425"/>
      </w:pPr>
      <w:rPr>
        <w:rFonts w:hint="default"/>
      </w:rPr>
    </w:lvl>
  </w:abstractNum>
  <w:abstractNum w:abstractNumId="10">
    <w:nsid w:val="5AE2DA4B"/>
    <w:multiLevelType w:val="singleLevel"/>
    <w:tmpl w:val="5AE2DA4B"/>
    <w:lvl w:ilvl="0" w:tentative="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9"/>
  </w:num>
  <w:num w:numId="7">
    <w:abstractNumId w:val="10"/>
  </w:num>
  <w:num w:numId="8">
    <w:abstractNumId w:val="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38D2F19"/>
    <w:rsid w:val="0399230F"/>
    <w:rsid w:val="043C4162"/>
    <w:rsid w:val="04823B21"/>
    <w:rsid w:val="04CE3E6C"/>
    <w:rsid w:val="05324816"/>
    <w:rsid w:val="05325D34"/>
    <w:rsid w:val="05350A6F"/>
    <w:rsid w:val="053B5FB3"/>
    <w:rsid w:val="05C52E89"/>
    <w:rsid w:val="05DE4E53"/>
    <w:rsid w:val="06CB7169"/>
    <w:rsid w:val="06CD0957"/>
    <w:rsid w:val="075D347C"/>
    <w:rsid w:val="076B286F"/>
    <w:rsid w:val="07BA48CA"/>
    <w:rsid w:val="0831406E"/>
    <w:rsid w:val="085B58B3"/>
    <w:rsid w:val="08A96692"/>
    <w:rsid w:val="0B5E1A54"/>
    <w:rsid w:val="0BFF25BD"/>
    <w:rsid w:val="0CBC295F"/>
    <w:rsid w:val="0D2F279C"/>
    <w:rsid w:val="0DB86FBC"/>
    <w:rsid w:val="0DF07D84"/>
    <w:rsid w:val="0E473B34"/>
    <w:rsid w:val="0E497616"/>
    <w:rsid w:val="0E842CB1"/>
    <w:rsid w:val="0F0803D8"/>
    <w:rsid w:val="0F347211"/>
    <w:rsid w:val="0FF92A60"/>
    <w:rsid w:val="10492302"/>
    <w:rsid w:val="10CA64E1"/>
    <w:rsid w:val="110928F7"/>
    <w:rsid w:val="11654D47"/>
    <w:rsid w:val="13147361"/>
    <w:rsid w:val="135C10D5"/>
    <w:rsid w:val="139F3DA1"/>
    <w:rsid w:val="13D576D7"/>
    <w:rsid w:val="14772C2B"/>
    <w:rsid w:val="14881933"/>
    <w:rsid w:val="154D48F1"/>
    <w:rsid w:val="158A4695"/>
    <w:rsid w:val="16541AFE"/>
    <w:rsid w:val="1694444C"/>
    <w:rsid w:val="17131114"/>
    <w:rsid w:val="1724223F"/>
    <w:rsid w:val="176A7E91"/>
    <w:rsid w:val="17F97F08"/>
    <w:rsid w:val="181A14FA"/>
    <w:rsid w:val="181D079B"/>
    <w:rsid w:val="184123DC"/>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0A256AD"/>
    <w:rsid w:val="21133B37"/>
    <w:rsid w:val="21534F77"/>
    <w:rsid w:val="21A2160C"/>
    <w:rsid w:val="21E966E6"/>
    <w:rsid w:val="22B96773"/>
    <w:rsid w:val="22E00851"/>
    <w:rsid w:val="235C23EB"/>
    <w:rsid w:val="23CB766B"/>
    <w:rsid w:val="23D22DCD"/>
    <w:rsid w:val="246A25A2"/>
    <w:rsid w:val="25206CD2"/>
    <w:rsid w:val="25230E4D"/>
    <w:rsid w:val="25B129B0"/>
    <w:rsid w:val="268D7081"/>
    <w:rsid w:val="269D4ADA"/>
    <w:rsid w:val="26F50CB1"/>
    <w:rsid w:val="26F906B4"/>
    <w:rsid w:val="278055FF"/>
    <w:rsid w:val="288D3DC5"/>
    <w:rsid w:val="28E2171B"/>
    <w:rsid w:val="29401D6D"/>
    <w:rsid w:val="2AF17F5F"/>
    <w:rsid w:val="2BBB5AD5"/>
    <w:rsid w:val="2BF10F3E"/>
    <w:rsid w:val="2BF40243"/>
    <w:rsid w:val="2C204052"/>
    <w:rsid w:val="2C4E01C4"/>
    <w:rsid w:val="2CF31D5E"/>
    <w:rsid w:val="2E3D1B0F"/>
    <w:rsid w:val="2EA431DB"/>
    <w:rsid w:val="2EDD294B"/>
    <w:rsid w:val="2F163A70"/>
    <w:rsid w:val="3036622A"/>
    <w:rsid w:val="30474844"/>
    <w:rsid w:val="30CA3841"/>
    <w:rsid w:val="3130279D"/>
    <w:rsid w:val="31DF7B93"/>
    <w:rsid w:val="324F62A8"/>
    <w:rsid w:val="32F7522E"/>
    <w:rsid w:val="339D246B"/>
    <w:rsid w:val="342060A8"/>
    <w:rsid w:val="34BB556C"/>
    <w:rsid w:val="35212328"/>
    <w:rsid w:val="358603F2"/>
    <w:rsid w:val="36A65EF8"/>
    <w:rsid w:val="36FB2C59"/>
    <w:rsid w:val="373827F1"/>
    <w:rsid w:val="379345D1"/>
    <w:rsid w:val="37974BFF"/>
    <w:rsid w:val="37BE23C2"/>
    <w:rsid w:val="37F27DC4"/>
    <w:rsid w:val="387F2F2C"/>
    <w:rsid w:val="3A3F65BD"/>
    <w:rsid w:val="3A4A65B1"/>
    <w:rsid w:val="3A773720"/>
    <w:rsid w:val="3AFC391A"/>
    <w:rsid w:val="3B080827"/>
    <w:rsid w:val="3B14535E"/>
    <w:rsid w:val="3C3E683E"/>
    <w:rsid w:val="3C456A69"/>
    <w:rsid w:val="3C487023"/>
    <w:rsid w:val="3C887586"/>
    <w:rsid w:val="3D5A40AB"/>
    <w:rsid w:val="3DB441B2"/>
    <w:rsid w:val="3DD2066D"/>
    <w:rsid w:val="3DD452AF"/>
    <w:rsid w:val="3DD967AA"/>
    <w:rsid w:val="3E371640"/>
    <w:rsid w:val="3E66724B"/>
    <w:rsid w:val="3E977DE0"/>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DE4636"/>
    <w:rsid w:val="44367FF1"/>
    <w:rsid w:val="4500284B"/>
    <w:rsid w:val="45407B03"/>
    <w:rsid w:val="45C004AA"/>
    <w:rsid w:val="46587D68"/>
    <w:rsid w:val="46C0533F"/>
    <w:rsid w:val="47847BD9"/>
    <w:rsid w:val="47AD4330"/>
    <w:rsid w:val="47BE1284"/>
    <w:rsid w:val="48582775"/>
    <w:rsid w:val="48E1049E"/>
    <w:rsid w:val="49280B38"/>
    <w:rsid w:val="492C5B3D"/>
    <w:rsid w:val="49A4783E"/>
    <w:rsid w:val="4A85340F"/>
    <w:rsid w:val="4ACE7F4F"/>
    <w:rsid w:val="4AED65F2"/>
    <w:rsid w:val="4B635392"/>
    <w:rsid w:val="4BA21255"/>
    <w:rsid w:val="4DC66F68"/>
    <w:rsid w:val="4E157235"/>
    <w:rsid w:val="4F8D23E3"/>
    <w:rsid w:val="508B5665"/>
    <w:rsid w:val="514F2EE0"/>
    <w:rsid w:val="51A458AF"/>
    <w:rsid w:val="52E54E97"/>
    <w:rsid w:val="52EE0AE7"/>
    <w:rsid w:val="536967A8"/>
    <w:rsid w:val="53AB6FFE"/>
    <w:rsid w:val="5450552C"/>
    <w:rsid w:val="554C057B"/>
    <w:rsid w:val="56065626"/>
    <w:rsid w:val="562E1D47"/>
    <w:rsid w:val="566E6D8E"/>
    <w:rsid w:val="56FF0A43"/>
    <w:rsid w:val="57AC75B3"/>
    <w:rsid w:val="57D705F2"/>
    <w:rsid w:val="57E13E87"/>
    <w:rsid w:val="57F27FDC"/>
    <w:rsid w:val="598A03E4"/>
    <w:rsid w:val="5AAF6E02"/>
    <w:rsid w:val="5AEA3AD0"/>
    <w:rsid w:val="5B1D2529"/>
    <w:rsid w:val="5B35349E"/>
    <w:rsid w:val="5B3F7D83"/>
    <w:rsid w:val="5B527398"/>
    <w:rsid w:val="5BA959B9"/>
    <w:rsid w:val="5CC70FAC"/>
    <w:rsid w:val="5D173705"/>
    <w:rsid w:val="5D1B4B8A"/>
    <w:rsid w:val="5D915ACD"/>
    <w:rsid w:val="5E093F5D"/>
    <w:rsid w:val="5E611270"/>
    <w:rsid w:val="5EB2026E"/>
    <w:rsid w:val="5FE13E30"/>
    <w:rsid w:val="61033D16"/>
    <w:rsid w:val="623E76D0"/>
    <w:rsid w:val="625B24D7"/>
    <w:rsid w:val="62CD795C"/>
    <w:rsid w:val="6438579B"/>
    <w:rsid w:val="655749FB"/>
    <w:rsid w:val="65E5671A"/>
    <w:rsid w:val="66EA0C9A"/>
    <w:rsid w:val="66FB3BC1"/>
    <w:rsid w:val="67023348"/>
    <w:rsid w:val="678F7868"/>
    <w:rsid w:val="67FA67CD"/>
    <w:rsid w:val="686F59C5"/>
    <w:rsid w:val="68985C4A"/>
    <w:rsid w:val="68BB275A"/>
    <w:rsid w:val="68CD7E6A"/>
    <w:rsid w:val="695E0A51"/>
    <w:rsid w:val="6AE713EB"/>
    <w:rsid w:val="6B015D37"/>
    <w:rsid w:val="6B9014C7"/>
    <w:rsid w:val="6C7B13C4"/>
    <w:rsid w:val="6CA73029"/>
    <w:rsid w:val="6D027CD6"/>
    <w:rsid w:val="6D4624D3"/>
    <w:rsid w:val="6DD71BCE"/>
    <w:rsid w:val="6E3164EF"/>
    <w:rsid w:val="6E550ED4"/>
    <w:rsid w:val="6EA5652C"/>
    <w:rsid w:val="6ED71557"/>
    <w:rsid w:val="6F0C38CA"/>
    <w:rsid w:val="706A3FF6"/>
    <w:rsid w:val="70737BDA"/>
    <w:rsid w:val="70D03715"/>
    <w:rsid w:val="70E0155E"/>
    <w:rsid w:val="711219DD"/>
    <w:rsid w:val="713C5670"/>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B55491"/>
    <w:rsid w:val="79DE1204"/>
    <w:rsid w:val="7A447EB1"/>
    <w:rsid w:val="7A6263B1"/>
    <w:rsid w:val="7A757773"/>
    <w:rsid w:val="7ADF17B7"/>
    <w:rsid w:val="7AEB0EA5"/>
    <w:rsid w:val="7AF9718A"/>
    <w:rsid w:val="7B386B42"/>
    <w:rsid w:val="7BBC102F"/>
    <w:rsid w:val="7BBE20B8"/>
    <w:rsid w:val="7BD509C2"/>
    <w:rsid w:val="7BDC0741"/>
    <w:rsid w:val="7C070CDC"/>
    <w:rsid w:val="7C9625E2"/>
    <w:rsid w:val="7D0716F9"/>
    <w:rsid w:val="7D2A47F3"/>
    <w:rsid w:val="7F2E3F67"/>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4</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2021-02-20T05:55:36Z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