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  <w:lang w:eastAsia="zh-CN"/>
        </w:rPr>
        <w:t>焦化</w:t>
      </w:r>
      <w:bookmarkStart w:id="0" w:name="_GoBack"/>
      <w:bookmarkEnd w:id="0"/>
      <w:r>
        <w:rPr>
          <w:rFonts w:hint="eastAsia"/>
          <w:lang w:eastAsia="zh-CN"/>
        </w:rPr>
        <w:t>干熄焦汽包智能液位计</w:t>
      </w:r>
      <w:r>
        <w:rPr>
          <w:rFonts w:hint="eastAsia"/>
        </w:rPr>
        <w:t>技术参数及要求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汽包水位测量管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中心距850mm；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工作压力：</w:t>
      </w:r>
      <w:r>
        <w:rPr>
          <w:rFonts w:hint="default" w:ascii="Arial" w:hAnsi="Arial" w:cs="Arial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11MPa；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工作温度：</w:t>
      </w:r>
      <w:r>
        <w:rPr>
          <w:rFonts w:hint="default" w:ascii="Arial" w:hAnsi="Arial" w:cs="Arial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450℃；连接管：DN40；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汽包智能液位计采用电容式智能液位计；；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配高温高压一次阀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具有全工况条件（锅炉起、停、排污等）下液位精确测控功能。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2、模块化结构设计，连续测控技术，能够对测量系统的温度漂移进行自动补偿，全温度范围测量系统温漂不超过 0.1pF（此指标必须有计量型式评价报告，要求投标商在投标文件里提供）。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3、能够对液相介质介电常数变化、汽相介质介电常数变化同时进行自动补偿，无需现场标定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高可靠、高稳定，不存在“假水位”测量情况。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、分辨率应达到 0.02mm；温度漂移±0.5mm（-40℃～85℃），测量线性偏差≤（1+0.05%FS）mm（此指标必须有计量型式评价报告）。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、电容式液位计的 IP 等级：IP65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输出：4－20Ma， 两线制电流环，且电流环与测量系统隔离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低功耗、无可动部件、精良工艺保证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测量探极材质应符合现场工况要求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配备组态用手操器，手操器为中文操作环境，带自诊断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 CE 认证的良好的电磁兼容特性，产品通过 CE 认证。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、制造厂家负责指导安装调试，由于制造工艺缺陷造成产品损坏，六年内制造厂家负责免费更换或维修。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、供货的液位计本体应安装不锈钢铭牌，铭牌内容包括：型号、规格、材质、防爆等级、防护等级、输出信号等。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、所有产品不得转包或贴牌，仪表应在制造厂整体组装调试出厂，严禁在生产工厂之外的第二工厂或第三方进行组装和测试。</w:t>
      </w:r>
    </w:p>
    <w:p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提供同类工况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年以上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无故障运行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应用业绩，业绩应包括合同封皮、有详细参数的设备清单、业绩单位联系人及联系方式。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36"/>
    <w:rsid w:val="00222A23"/>
    <w:rsid w:val="003B5AFF"/>
    <w:rsid w:val="003C4BE4"/>
    <w:rsid w:val="00636E52"/>
    <w:rsid w:val="00965B36"/>
    <w:rsid w:val="009C4C30"/>
    <w:rsid w:val="1AA2119B"/>
    <w:rsid w:val="3C512300"/>
    <w:rsid w:val="3C65526F"/>
    <w:rsid w:val="777C2314"/>
    <w:rsid w:val="7C52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line="360" w:lineRule="auto"/>
    </w:pPr>
    <w:rPr>
      <w:rFonts w:ascii="Arial" w:hAnsi="Arial" w:eastAsia="宋体" w:cs="Times New Roman"/>
      <w:kern w:val="0"/>
      <w:sz w:val="22"/>
      <w:szCs w:val="20"/>
      <w:lang w:val="de-DE" w:eastAsia="de-AT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pacing w:before="100" w:after="100"/>
      <w:jc w:val="both"/>
      <w:outlineLvl w:val="0"/>
    </w:pPr>
    <w:rPr>
      <w:rFonts w:ascii="Times New Roman" w:hAnsi="Times New Roman"/>
      <w:b/>
      <w:kern w:val="44"/>
      <w:sz w:val="28"/>
      <w:szCs w:val="24"/>
      <w:lang w:val="en-US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kern w:val="44"/>
      <w:sz w:val="28"/>
      <w:szCs w:val="24"/>
    </w:rPr>
  </w:style>
  <w:style w:type="paragraph" w:styleId="10">
    <w:name w:val="List Paragraph"/>
    <w:basedOn w:val="1"/>
    <w:qFormat/>
    <w:uiPriority w:val="34"/>
    <w:pPr>
      <w:widowControl w:val="0"/>
      <w:spacing w:before="0" w:line="240" w:lineRule="auto"/>
      <w:ind w:firstLine="420" w:firstLineChars="20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1966</Characters>
  <Lines>16</Lines>
  <Paragraphs>4</Paragraphs>
  <TotalTime>0</TotalTime>
  <ScaleCrop>false</ScaleCrop>
  <LinksUpToDate>false</LinksUpToDate>
  <CharactersWithSpaces>2306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2021-01-11T13:28:00Z</dcterms:created>
  <dc:creator>茂川</dc:creator>
  <cp:lastModifiedBy>admin</cp:lastModifiedBy>
  <dcterms:modified xsi:type="dcterms:W3CDTF">2021-03-02T01:40:00Z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