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低氮增碳剂及石油焦增碳剂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bookmarkStart w:id="0" w:name="_GoBack"/>
      <w:r>
        <w:rPr>
          <w:rFonts w:hint="eastAsia" w:ascii="宋体" w:hAnsi="宋体"/>
          <w:color w:val="000000"/>
          <w:u w:val="single"/>
          <w:lang w:val="en-US" w:eastAsia="zh-CN"/>
        </w:rPr>
        <w:t>WHXX</w:t>
      </w:r>
      <w:r>
        <w:rPr>
          <w:rFonts w:hint="eastAsia" w:ascii="宋体" w:hAnsi="宋体"/>
          <w:u w:val="single"/>
          <w:lang w:val="en-US" w:eastAsia="zh-CN"/>
        </w:rPr>
        <w:t>202103007DDJSYJZTJ</w:t>
      </w:r>
      <w:bookmarkEnd w:id="0"/>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低氮增碳剂及石油焦增碳剂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19日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3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sz w:val="24"/>
          <w:szCs w:val="24"/>
          <w:lang w:val="en-US" w:eastAsia="zh-CN"/>
        </w:rPr>
      </w:pPr>
      <w:r>
        <w:rPr>
          <w:rFonts w:hint="eastAsia" w:ascii="宋体" w:hAnsi="宋体"/>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本次招标分两个标段：（1）、低氮增碳剂360吨；（2）、石油焦增碳剂800吨；</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低氮增碳剂360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石油焦增碳剂800吨</w:t>
      </w:r>
      <w:r>
        <w:rPr>
          <w:rFonts w:hint="eastAsia" w:ascii="宋体" w:hAnsi="宋体"/>
          <w:b/>
          <w:color w:val="FF0000"/>
          <w:sz w:val="24"/>
          <w:szCs w:val="24"/>
        </w:rPr>
        <w:t>（</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numPr>
          <w:ilvl w:val="0"/>
          <w:numId w:val="9"/>
        </w:numPr>
        <w:spacing w:line="360" w:lineRule="auto"/>
        <w:ind w:firstLine="1446" w:firstLineChars="600"/>
        <w:rPr>
          <w:rFonts w:hint="eastAsia" w:ascii="宋体" w:hAnsi="宋体"/>
          <w:b/>
          <w:color w:val="FF0000"/>
          <w:sz w:val="24"/>
          <w:szCs w:val="24"/>
          <w:lang w:eastAsia="zh-CN"/>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低氮增碳剂7000元/吨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大写：柒仟元每吨</w:t>
      </w:r>
      <w:r>
        <w:rPr>
          <w:rFonts w:hint="eastAsia" w:ascii="宋体" w:hAnsi="宋体"/>
          <w:b/>
          <w:color w:val="FF0000"/>
          <w:sz w:val="24"/>
          <w:szCs w:val="24"/>
          <w:lang w:eastAsia="zh-CN"/>
        </w:rPr>
        <w:t>）；</w:t>
      </w:r>
    </w:p>
    <w:p>
      <w:pPr>
        <w:numPr>
          <w:ilvl w:val="0"/>
          <w:numId w:val="9"/>
        </w:numPr>
        <w:spacing w:line="360" w:lineRule="auto"/>
        <w:ind w:firstLine="1446" w:firstLineChars="600"/>
        <w:rPr>
          <w:rFonts w:hint="eastAsia" w:ascii="宋体" w:hAnsi="宋体"/>
          <w:b/>
          <w:color w:val="FF0000"/>
          <w:sz w:val="24"/>
          <w:szCs w:val="24"/>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石油焦增碳剂5200元/吨（大写：伍仟贰佰元每吨）</w:t>
      </w:r>
    </w:p>
    <w:p>
      <w:pPr>
        <w:numPr>
          <w:numId w:val="0"/>
        </w:numPr>
        <w:spacing w:line="360" w:lineRule="auto"/>
        <w:ind w:firstLine="964" w:firstLineChars="400"/>
        <w:rPr>
          <w:rFonts w:hint="eastAsia" w:ascii="宋体" w:hAnsi="宋体"/>
          <w:b/>
          <w:color w:val="FF0000"/>
          <w:sz w:val="24"/>
          <w:szCs w:val="24"/>
        </w:rPr>
      </w:pPr>
      <w:r>
        <w:rPr>
          <w:rFonts w:hint="eastAsia" w:ascii="宋体" w:hAnsi="宋体"/>
          <w:b/>
          <w:color w:val="FF0000"/>
          <w:sz w:val="24"/>
          <w:szCs w:val="24"/>
        </w:rPr>
        <w:t>报价高于此最高投标限价的作废标处理。</w:t>
      </w: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numPr>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jc w:val="center"/>
        <w:rPr>
          <w:rFonts w:hint="eastAsia"/>
          <w:b/>
          <w:color w:val="auto"/>
          <w:sz w:val="36"/>
          <w:szCs w:val="36"/>
          <w:u w:val="none" w:color="auto"/>
          <w:lang w:eastAsia="zh-CN"/>
        </w:rPr>
      </w:pPr>
      <w:r>
        <w:rPr>
          <w:rFonts w:hint="eastAsia"/>
          <w:b/>
          <w:color w:val="auto"/>
          <w:sz w:val="36"/>
          <w:szCs w:val="36"/>
          <w:u w:val="none" w:color="auto"/>
        </w:rPr>
        <w:t>低氮增碳剂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本标准规定了炼钢低氮增碳剂的采购标准、让步接受条件、不合格处理及送货要求。</w:t>
      </w:r>
    </w:p>
    <w:p>
      <w:pPr>
        <w:keepNext w:val="0"/>
        <w:keepLines w:val="0"/>
        <w:pageBreakBefore w:val="0"/>
        <w:widowControl w:val="0"/>
        <w:numPr>
          <w:ilvl w:val="0"/>
          <w:numId w:val="11"/>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FC%；St.d%；H2O%；N%；粒度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FC≥98%；St.d≤0.05%；H2O≤0.5%；N≤300ppm；粒度：1～5mm；小于1mm的比例≤5%；大于5mm的比例≤1%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FC≥96%；St.d≤0.15%；H2O≤0.7%；N≤400ppm；小于1mm的比例≤7%；大于5mm的比例≤2%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1、FC超出标准在让步接收范围内，97%≤C＜98%间，每下降0.1%，合同价格降0.5%;96%≤C＜97%间，每下降0.1%，合同价格降1%；超出让步范围原则上退货或改判为普通增碳剂结算。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2、St.d超出标准在让步范围内，每上升0.01%，合同价格降0.5%；超出让步退货或改判普通增碳剂结算。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4、N超出标准在让步范围内，300ppm&lt;[N]≤400ppm，每上升1ppm，合同价格降0.1%，超出400ppm（0.04%），按拒收或普通增碳剂结算。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5、粒度超出标准在让步范围内，按超出部分扣吨。超出让步退货或按超出吨位双倍扣吨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2" w:firstLineChars="20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做好防潮措施，吨袋包装外层和小袋包装外层为编织袋，吨袋包装内层和小袋包装内层为厚塑料袋。塑料袋具有一定强度，保证质量，不易刺破，起到防潮效果，吨袋内膜要求扎口。吨袋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60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包装袋供方不回收。包装不符合要求的按200元/袋落实考核。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3.2</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低氮增碳剂卸至炼钢部库房。</w:t>
      </w:r>
    </w:p>
    <w:p>
      <w:pPr>
        <w:jc w:val="both"/>
        <w:rPr>
          <w:rFonts w:hint="eastAsia"/>
          <w:b w:val="0"/>
          <w:bCs/>
          <w:color w:val="auto"/>
          <w:sz w:val="28"/>
          <w:szCs w:val="28"/>
          <w:u w:val="none" w:color="auto"/>
          <w:lang w:val="en-US" w:eastAsia="zh-CN"/>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jc w:val="center"/>
        <w:rPr>
          <w:rFonts w:hint="eastAsia"/>
          <w:b/>
          <w:color w:val="auto"/>
          <w:sz w:val="36"/>
          <w:szCs w:val="36"/>
          <w:u w:val="none" w:color="auto"/>
          <w:lang w:eastAsia="zh-CN"/>
        </w:rPr>
      </w:pPr>
      <w:r>
        <w:rPr>
          <w:rFonts w:hint="eastAsia"/>
          <w:b/>
          <w:color w:val="auto"/>
          <w:sz w:val="36"/>
          <w:szCs w:val="36"/>
          <w:u w:val="none" w:color="auto"/>
          <w:lang w:val="en-US" w:eastAsia="zh-CN"/>
        </w:rPr>
        <w:t>石油焦</w:t>
      </w:r>
      <w:r>
        <w:rPr>
          <w:rFonts w:hint="eastAsia"/>
          <w:b/>
          <w:color w:val="auto"/>
          <w:sz w:val="36"/>
          <w:szCs w:val="36"/>
          <w:u w:val="none" w:color="auto"/>
        </w:rPr>
        <w:t>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jc w:val="center"/>
        <w:rPr>
          <w:rFonts w:hint="eastAsia"/>
          <w:b/>
          <w:bCs w:val="0"/>
          <w:color w:val="auto"/>
          <w:sz w:val="24"/>
          <w:szCs w:val="24"/>
          <w:u w:val="none" w:color="auto"/>
          <w:lang w:val="en-US" w:eastAsia="zh-CN"/>
        </w:rPr>
      </w:pPr>
    </w:p>
    <w:p>
      <w:pPr>
        <w:jc w:val="left"/>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 xml:space="preserve">    1、技术要求</w:t>
      </w:r>
    </w:p>
    <w:p>
      <w:pPr>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 xml:space="preserve">      1、质量标准：FC≥98%；St.d≤0.5%；水分≤0.5%；粒度：0.5-7mm；小于0.5mm的             比例≤10%，大于7mm的比例≤5%。让步接收标准：FC≥96%；St.d≤0.6%；H 2 O%≤0.7%；粒度：小于 0.5mm的比例≤15%；大于 7mm 的比例≤10%。</w:t>
      </w:r>
    </w:p>
    <w:p>
      <w:pPr>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 xml:space="preserve">      2、质量考核</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①1、FC：97%≤C＜98%每下降 0.1%，合同价格降 0.5%;96%≤C＜97%间，每下降 0.1%，合同价格降 1%；超出让步范围原则上退货。</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②、St.d 超出标准在让步接收范围内，每上升 0.01%,合同价格降 0.05%；超出让步范围原则上退货。</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③、0.5%＜H 2 O≤0.7%，每增加 0.1%，合同价格降 2%，H2O＞0.7%，作退货处理，如无法退货按超出让步范围在原处罚基础上双倍扣罚。</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④、粒度超出标准在让步接收范围内，超出部分扣吨位结算；超出让步范围原则上退货或在原处罚基础上双倍扣罚。</w:t>
      </w:r>
    </w:p>
    <w:p>
      <w:pPr>
        <w:ind w:firstLine="723" w:firstLineChars="300"/>
        <w:jc w:val="left"/>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2、包装要求：</w:t>
      </w:r>
    </w:p>
    <w:p>
      <w:pPr>
        <w:ind w:firstLine="480"/>
        <w:jc w:val="center"/>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吨袋包装：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rPr>
          <w:rFonts w:hint="eastAsia" w:ascii="宋体" w:hAnsi="宋体"/>
          <w:color w:val="000000"/>
          <w:sz w:val="28"/>
          <w:szCs w:val="28"/>
        </w:rPr>
      </w:pPr>
      <w:r>
        <w:rPr>
          <w:rFonts w:hint="eastAsia" w:ascii="宋体" w:hAnsi="宋体"/>
          <w:color w:val="000000"/>
          <w:sz w:val="28"/>
          <w:szCs w:val="28"/>
        </w:rPr>
        <w:br w:type="page"/>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低氮增碳剂及石油焦增碳剂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40"/>
        <w:gridCol w:w="1211"/>
        <w:gridCol w:w="410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5" w:type="pct"/>
            <w:vAlign w:val="center"/>
          </w:tcPr>
          <w:p>
            <w:pPr>
              <w:jc w:val="center"/>
              <w:rPr>
                <w:sz w:val="18"/>
                <w:szCs w:val="18"/>
              </w:rPr>
            </w:pPr>
            <w:r>
              <w:rPr>
                <w:rFonts w:hint="eastAsia"/>
                <w:sz w:val="18"/>
                <w:szCs w:val="18"/>
              </w:rPr>
              <w:t>序号</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28" w:type="pct"/>
            <w:vAlign w:val="center"/>
          </w:tcPr>
          <w:p>
            <w:pPr>
              <w:jc w:val="center"/>
              <w:rPr>
                <w:sz w:val="18"/>
                <w:szCs w:val="18"/>
              </w:rPr>
            </w:pPr>
            <w:r>
              <w:rPr>
                <w:rFonts w:hint="eastAsia"/>
                <w:sz w:val="18"/>
                <w:szCs w:val="18"/>
              </w:rPr>
              <w:t>含税、含运费报价（元/吨）</w:t>
            </w:r>
          </w:p>
        </w:tc>
        <w:tc>
          <w:tcPr>
            <w:tcW w:w="958"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5"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低氮增碳剂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360</w:t>
            </w:r>
            <w:r>
              <w:rPr>
                <w:rFonts w:hint="eastAsia" w:ascii="宋体" w:hAnsi="宋体"/>
                <w:b/>
                <w:color w:val="FF0000"/>
                <w:sz w:val="24"/>
                <w:szCs w:val="24"/>
              </w:rPr>
              <w:t>吨</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8"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75"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8"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restart"/>
            <w:vAlign w:val="center"/>
          </w:tcPr>
          <w:p>
            <w:pPr>
              <w:jc w:val="center"/>
              <w:rPr>
                <w:rFonts w:hint="eastAsia" w:eastAsia="宋体"/>
                <w:sz w:val="28"/>
                <w:szCs w:val="28"/>
                <w:lang w:val="en-US" w:eastAsia="zh-CN"/>
              </w:rPr>
            </w:pPr>
            <w:r>
              <w:rPr>
                <w:rFonts w:hint="eastAsia"/>
                <w:sz w:val="24"/>
                <w:szCs w:val="24"/>
                <w:lang w:val="en-US" w:eastAsia="zh-CN"/>
              </w:rPr>
              <w:t>2</w:t>
            </w:r>
          </w:p>
        </w:tc>
        <w:tc>
          <w:tcPr>
            <w:tcW w:w="781" w:type="pct"/>
            <w:vMerge w:val="restart"/>
            <w:vAlign w:val="center"/>
          </w:tcPr>
          <w:p>
            <w:pPr>
              <w:jc w:val="center"/>
              <w:rPr>
                <w:rFonts w:hint="default" w:ascii="宋体" w:hAnsi="宋体" w:eastAsia="宋体" w:cs="Times New Roman"/>
                <w:b/>
                <w:color w:val="000000"/>
                <w:kern w:val="2"/>
                <w:sz w:val="24"/>
                <w:szCs w:val="24"/>
                <w:u w:val="none"/>
                <w:lang w:val="en-US" w:eastAsia="zh-CN" w:bidi="ar-SA"/>
              </w:rPr>
            </w:pPr>
            <w:r>
              <w:rPr>
                <w:rFonts w:hint="eastAsia" w:ascii="宋体" w:hAnsi="宋体"/>
                <w:b/>
                <w:color w:val="FF0000"/>
                <w:sz w:val="28"/>
                <w:szCs w:val="28"/>
                <w:u w:val="none"/>
                <w:lang w:val="en-US" w:eastAsia="zh-CN"/>
              </w:rPr>
              <w:t>石油焦增碳剂</w:t>
            </w:r>
          </w:p>
        </w:tc>
        <w:tc>
          <w:tcPr>
            <w:tcW w:w="657" w:type="pct"/>
            <w:vMerge w:val="restart"/>
            <w:vAlign w:val="center"/>
          </w:tcPr>
          <w:p>
            <w:pPr>
              <w:jc w:val="center"/>
              <w:rPr>
                <w:rFonts w:ascii="Times New Roman" w:hAnsi="Times New Roman" w:eastAsia="宋体" w:cs="Times New Roman"/>
                <w:kern w:val="2"/>
                <w:sz w:val="24"/>
                <w:szCs w:val="24"/>
                <w:lang w:val="en-US" w:eastAsia="zh-CN" w:bidi="ar-SA"/>
              </w:rPr>
            </w:pPr>
            <w:r>
              <w:rPr>
                <w:rFonts w:hint="eastAsia" w:ascii="宋体" w:hAnsi="宋体"/>
                <w:b/>
                <w:color w:val="FF0000"/>
                <w:sz w:val="24"/>
                <w:szCs w:val="24"/>
              </w:rPr>
              <w:t>约</w:t>
            </w:r>
            <w:r>
              <w:rPr>
                <w:rFonts w:hint="eastAsia" w:ascii="宋体" w:hAnsi="宋体"/>
                <w:b/>
                <w:color w:val="FF0000"/>
                <w:sz w:val="24"/>
                <w:szCs w:val="24"/>
                <w:lang w:val="en-US" w:eastAsia="zh-CN"/>
              </w:rPr>
              <w:t>800</w:t>
            </w:r>
            <w:r>
              <w:rPr>
                <w:rFonts w:hint="eastAsia" w:ascii="宋体" w:hAnsi="宋体"/>
                <w:b/>
                <w:color w:val="FF0000"/>
                <w:sz w:val="24"/>
                <w:szCs w:val="24"/>
              </w:rPr>
              <w:t>吨</w:t>
            </w: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8" w:type="pct"/>
            <w:vMerge w:val="restart"/>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continue"/>
            <w:tcBorders/>
          </w:tcPr>
          <w:p>
            <w:pPr>
              <w:rPr>
                <w:sz w:val="28"/>
                <w:szCs w:val="28"/>
              </w:rPr>
            </w:pPr>
          </w:p>
        </w:tc>
        <w:tc>
          <w:tcPr>
            <w:tcW w:w="781" w:type="pct"/>
            <w:vMerge w:val="continue"/>
            <w:tcBorders/>
          </w:tcPr>
          <w:p>
            <w:pPr>
              <w:rPr>
                <w:sz w:val="28"/>
                <w:szCs w:val="28"/>
              </w:rPr>
            </w:pPr>
          </w:p>
        </w:tc>
        <w:tc>
          <w:tcPr>
            <w:tcW w:w="657" w:type="pct"/>
            <w:vMerge w:val="continue"/>
            <w:tcBorders/>
          </w:tcPr>
          <w:p>
            <w:pPr>
              <w:rPr>
                <w:sz w:val="28"/>
                <w:szCs w:val="28"/>
              </w:rPr>
            </w:pP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8" w:type="pct"/>
            <w:vMerge w:val="continue"/>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rFonts w:hint="eastAsia"/>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7B30A"/>
    <w:multiLevelType w:val="singleLevel"/>
    <w:tmpl w:val="9FF7B30A"/>
    <w:lvl w:ilvl="0" w:tentative="0">
      <w:start w:val="1"/>
      <w:numFmt w:val="decimal"/>
      <w:suff w:val="nothing"/>
      <w:lvlText w:val="（%1）"/>
      <w:lvlJc w:val="left"/>
    </w:lvl>
  </w:abstractNum>
  <w:abstractNum w:abstractNumId="1">
    <w:nsid w:val="BAAD3FFC"/>
    <w:multiLevelType w:val="singleLevel"/>
    <w:tmpl w:val="BAAD3FFC"/>
    <w:lvl w:ilvl="0" w:tentative="0">
      <w:start w:val="1"/>
      <w:numFmt w:val="decimal"/>
      <w:suff w:val="nothing"/>
      <w:lvlText w:val="%1、"/>
      <w:lvlJc w:val="left"/>
    </w:lvl>
  </w:abstractNum>
  <w:abstractNum w:abstractNumId="2">
    <w:nsid w:val="D639B689"/>
    <w:multiLevelType w:val="singleLevel"/>
    <w:tmpl w:val="D639B689"/>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6">
    <w:nsid w:val="0000000B"/>
    <w:multiLevelType w:val="singleLevel"/>
    <w:tmpl w:val="0000000B"/>
    <w:lvl w:ilvl="0" w:tentative="0">
      <w:start w:val="1"/>
      <w:numFmt w:val="decimal"/>
      <w:lvlText w:val="（%1）"/>
      <w:lvlJc w:val="left"/>
      <w:pPr>
        <w:tabs>
          <w:tab w:val="left" w:pos="1125"/>
        </w:tabs>
        <w:ind w:left="1125" w:hanging="705"/>
      </w:pPr>
    </w:lvl>
  </w:abstractNum>
  <w:abstractNum w:abstractNumId="7">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9">
    <w:nsid w:val="0000000E"/>
    <w:multiLevelType w:val="singleLevel"/>
    <w:tmpl w:val="0000000E"/>
    <w:lvl w:ilvl="0" w:tentative="0">
      <w:start w:val="1"/>
      <w:numFmt w:val="decimal"/>
      <w:lvlText w:val="%1、"/>
      <w:lvlJc w:val="left"/>
      <w:pPr>
        <w:tabs>
          <w:tab w:val="left" w:pos="705"/>
        </w:tabs>
        <w:ind w:left="705" w:hanging="420"/>
      </w:pPr>
    </w:lvl>
  </w:abstractNum>
  <w:abstractNum w:abstractNumId="10">
    <w:nsid w:val="2C64BC62"/>
    <w:multiLevelType w:val="singleLevel"/>
    <w:tmpl w:val="2C64BC62"/>
    <w:lvl w:ilvl="0" w:tentative="0">
      <w:start w:val="1"/>
      <w:numFmt w:val="decimal"/>
      <w:lvlText w:val="%1."/>
      <w:lvlJc w:val="left"/>
      <w:pPr>
        <w:ind w:left="425" w:hanging="425"/>
      </w:pPr>
      <w:rPr>
        <w:rFonts w:hint="default"/>
      </w:rPr>
    </w:lvl>
  </w:abstractNum>
  <w:abstractNum w:abstractNumId="11">
    <w:nsid w:val="5AE2DA4B"/>
    <w:multiLevelType w:val="singleLevel"/>
    <w:tmpl w:val="5AE2DA4B"/>
    <w:lvl w:ilvl="0" w:tentative="0">
      <w:start w:val="14"/>
      <w:numFmt w:val="chineseCounting"/>
      <w:suff w:val="nothing"/>
      <w:lvlText w:val="%1、"/>
      <w:lvlJc w:val="left"/>
      <w:rPr>
        <w:rFonts w:hint="eastAsia"/>
      </w:rPr>
    </w:lvl>
  </w:abstractNum>
  <w:num w:numId="1">
    <w:abstractNumId w:val="5"/>
    <w:lvlOverride w:ilvl="0">
      <w:startOverride w:val="1"/>
    </w:lvlOverride>
  </w:num>
  <w:num w:numId="2">
    <w:abstractNumId w:val="9"/>
    <w:lvlOverride w:ilvl="0">
      <w:startOverride w:val="1"/>
    </w:lvlOverride>
  </w:num>
  <w:num w:numId="3">
    <w:abstractNumId w:val="8"/>
    <w:lvlOverride w:ilvl="0">
      <w:startOverride w:val="1"/>
    </w:lvlOverride>
  </w:num>
  <w:num w:numId="4">
    <w:abstractNumId w:val="6"/>
    <w:lvlOverride w:ilvl="0">
      <w:startOverride w:val="1"/>
    </w:lvlOverride>
  </w:num>
  <w:num w:numId="5">
    <w:abstractNumId w:val="7"/>
  </w:num>
  <w:num w:numId="6">
    <w:abstractNumId w:val="10"/>
  </w:num>
  <w:num w:numId="7">
    <w:abstractNumId w:val="11"/>
  </w:num>
  <w:num w:numId="8">
    <w:abstractNumId w:val="1"/>
  </w:num>
  <w:num w:numId="9">
    <w:abstractNumId w:val="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9345D1"/>
    <w:rsid w:val="37974BFF"/>
    <w:rsid w:val="37BE23C2"/>
    <w:rsid w:val="37F02022"/>
    <w:rsid w:val="37F27DC4"/>
    <w:rsid w:val="383E2980"/>
    <w:rsid w:val="387F2F2C"/>
    <w:rsid w:val="3A3F65BD"/>
    <w:rsid w:val="3A773720"/>
    <w:rsid w:val="3AFC391A"/>
    <w:rsid w:val="3B14535E"/>
    <w:rsid w:val="3C036E6F"/>
    <w:rsid w:val="3C3E683E"/>
    <w:rsid w:val="3C456A69"/>
    <w:rsid w:val="3C487023"/>
    <w:rsid w:val="3C887586"/>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A706B0"/>
    <w:rsid w:val="41BF02F4"/>
    <w:rsid w:val="422E1FDF"/>
    <w:rsid w:val="423C71D1"/>
    <w:rsid w:val="426213B7"/>
    <w:rsid w:val="42CE1EFE"/>
    <w:rsid w:val="43DE4636"/>
    <w:rsid w:val="44106AE0"/>
    <w:rsid w:val="44367FF1"/>
    <w:rsid w:val="4500284B"/>
    <w:rsid w:val="45407B03"/>
    <w:rsid w:val="45C004AA"/>
    <w:rsid w:val="46587D68"/>
    <w:rsid w:val="47847BD9"/>
    <w:rsid w:val="47AD4330"/>
    <w:rsid w:val="48582775"/>
    <w:rsid w:val="48836EA0"/>
    <w:rsid w:val="48C72F43"/>
    <w:rsid w:val="48E1049E"/>
    <w:rsid w:val="49056F4D"/>
    <w:rsid w:val="49280B38"/>
    <w:rsid w:val="492C5B3D"/>
    <w:rsid w:val="49A4783E"/>
    <w:rsid w:val="4A790DED"/>
    <w:rsid w:val="4A85340F"/>
    <w:rsid w:val="4ACE7F4F"/>
    <w:rsid w:val="4AED65F2"/>
    <w:rsid w:val="4B635392"/>
    <w:rsid w:val="4BA21255"/>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2021-03-10T01:53:11Z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