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bookmarkStart w:id="0" w:name="_GoBack"/>
      <w:bookmarkEnd w:id="0"/>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炼钢用轻烧镁球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lang w:val="en-US" w:eastAsia="zh-CN"/>
        </w:rPr>
        <w:t>30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SC202104004LGYQSMQ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炼钢用轻烧镁球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4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9日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p>
    <w:p>
      <w:pPr>
        <w:numPr>
          <w:ilvl w:val="0"/>
          <w:numId w:val="8"/>
        </w:numPr>
        <w:spacing w:line="360" w:lineRule="auto"/>
        <w:ind w:firstLine="442" w:firstLineChars="200"/>
        <w:rPr>
          <w:rFonts w:hint="eastAsia" w:ascii="宋体" w:hAnsi="宋体"/>
          <w:b/>
          <w:color w:val="FF0000"/>
          <w:sz w:val="22"/>
          <w:szCs w:val="22"/>
          <w:lang w:val="en-US" w:eastAsia="zh-CN"/>
        </w:rPr>
      </w:pPr>
      <w:r>
        <w:rPr>
          <w:rFonts w:hint="eastAsia" w:ascii="宋体" w:hAnsi="宋体"/>
          <w:b/>
          <w:color w:val="FF0000"/>
          <w:sz w:val="22"/>
          <w:szCs w:val="22"/>
          <w:lang w:val="en-US" w:eastAsia="zh-CN"/>
        </w:rPr>
        <w:t>本次招标招</w:t>
      </w:r>
      <w:r>
        <w:rPr>
          <w:rFonts w:hint="eastAsia" w:ascii="宋体" w:hAnsi="宋体"/>
          <w:b/>
          <w:color w:val="FF0000"/>
          <w:sz w:val="22"/>
          <w:szCs w:val="22"/>
          <w:lang w:val="en-US" w:eastAsia="zh-CN"/>
        </w:rPr>
        <w:t>三个月的供货量为：</w:t>
      </w:r>
      <w:r>
        <w:rPr>
          <w:rFonts w:hint="eastAsia" w:ascii="宋体" w:hAnsi="宋体"/>
          <w:b/>
          <w:color w:val="FF0000"/>
          <w:sz w:val="22"/>
          <w:szCs w:val="22"/>
          <w:lang w:val="en-US" w:eastAsia="zh-CN"/>
        </w:rPr>
        <w:t>炼钢用轻烧镁球3500吨（该数量为</w:t>
      </w:r>
      <w:r>
        <w:rPr>
          <w:rFonts w:hint="eastAsia" w:ascii="宋体" w:hAnsi="宋体"/>
          <w:b/>
          <w:color w:val="FF0000"/>
          <w:sz w:val="22"/>
          <w:szCs w:val="22"/>
          <w:lang w:val="en-US" w:eastAsia="zh-CN"/>
        </w:rPr>
        <w:t>三个月的理论需求数量，具体供货数量以生产单位实际用量为准，具体供货时间以商务部门通知为准）按照单吨价报价，并注明相应的供应数量。</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提供2019年至今两份</w:t>
      </w:r>
      <w:r>
        <w:rPr>
          <w:rFonts w:hint="eastAsia" w:ascii="宋体" w:hAnsi="宋体"/>
          <w:b/>
          <w:color w:val="FF0000"/>
          <w:sz w:val="22"/>
          <w:szCs w:val="22"/>
          <w:lang w:val="en-US" w:eastAsia="zh-CN"/>
        </w:rPr>
        <w:t>及</w:t>
      </w:r>
      <w:r>
        <w:rPr>
          <w:rFonts w:hint="eastAsia" w:ascii="宋体" w:hAnsi="宋体"/>
          <w:b/>
          <w:color w:val="FF0000"/>
          <w:sz w:val="22"/>
          <w:szCs w:val="22"/>
        </w:rPr>
        <w:t>以上轻烧镁球供货业绩</w:t>
      </w:r>
      <w:r>
        <w:rPr>
          <w:rFonts w:hint="eastAsia" w:ascii="宋体" w:hAnsi="宋体"/>
          <w:b/>
          <w:color w:val="FF0000"/>
          <w:sz w:val="22"/>
          <w:szCs w:val="22"/>
          <w:lang w:eastAsia="zh-CN"/>
        </w:rPr>
        <w:t>，</w:t>
      </w:r>
      <w:r>
        <w:rPr>
          <w:rFonts w:hint="eastAsia" w:ascii="宋体" w:hAnsi="宋体"/>
          <w:b/>
          <w:color w:val="FF0000"/>
          <w:sz w:val="22"/>
          <w:szCs w:val="22"/>
          <w:lang w:val="en-US" w:eastAsia="zh-CN"/>
        </w:rPr>
        <w:t>以合同签订时间为准</w:t>
      </w:r>
      <w:r>
        <w:rPr>
          <w:rFonts w:hint="eastAsia" w:ascii="宋体" w:hAnsi="宋体"/>
          <w:b/>
          <w:color w:val="FF0000"/>
          <w:sz w:val="22"/>
          <w:szCs w:val="22"/>
        </w:rPr>
        <w:t>。（附合同+发票复印件）</w:t>
      </w:r>
      <w:r>
        <w:rPr>
          <w:rFonts w:hint="eastAsia" w:ascii="宋体" w:hAnsi="宋体"/>
          <w:b/>
          <w:color w:val="FF0000"/>
          <w:sz w:val="22"/>
          <w:szCs w:val="22"/>
          <w:lang w:eastAsia="zh-CN"/>
        </w:rPr>
        <w:t>。</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按我方要求随时准备送货进厂；包装吨袋质量必须保证，标识清楚。</w:t>
      </w:r>
    </w:p>
    <w:p>
      <w:pPr>
        <w:numPr>
          <w:ilvl w:val="0"/>
          <w:numId w:val="8"/>
        </w:numPr>
        <w:spacing w:line="360" w:lineRule="auto"/>
        <w:ind w:firstLine="442" w:firstLineChars="20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1000元/吨</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大写：壹仟元每吨</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p>
      <w:pPr>
        <w:jc w:val="center"/>
        <w:rPr>
          <w:rFonts w:hint="eastAsia"/>
          <w:b/>
          <w:color w:val="auto"/>
          <w:sz w:val="36"/>
          <w:szCs w:val="36"/>
          <w:u w:val="none" w:color="auto"/>
          <w:lang w:eastAsia="zh-CN"/>
        </w:rPr>
      </w:pPr>
      <w:r>
        <w:rPr>
          <w:rFonts w:hint="eastAsia"/>
          <w:b/>
          <w:sz w:val="36"/>
          <w:szCs w:val="36"/>
          <w:lang w:eastAsia="zh-CN"/>
        </w:rPr>
        <w:t>轻烧镁球</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本标准规定了炼钢轻烧镁球的采购标准、让步接受条件、不合格处理及送货要求。</w:t>
      </w:r>
    </w:p>
    <w:p>
      <w:pPr>
        <w:keepNext w:val="0"/>
        <w:keepLines w:val="0"/>
        <w:pageBreakBefore w:val="0"/>
        <w:widowControl w:val="0"/>
        <w:numPr>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MgO、SiO2、灼减、粒度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MgO≥60%；SiO2≤5%；灼减15～32%；粒度5～50mm；小于5mm的比例≤5%（压迫力KN/个1.8～2.2）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MgO≥57%；SiO2≤7.5%；灼减≤37%；粒度5～50mm；小于5mm的比例≤15%（压迫力KN/个1.8～2.2）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1、MgO超出标准在让步范围内，每下降0.1%，合同价格降0.25%；超出让步范围原则上退货或在原处罚基础上双倍扣罚。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2、SiO2超出标准在让步范围内，每上升0.1%，合同价格降0.5%；超出让步范围原则上退货或在原处罚基础上双倍扣罚。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3、灼减超出标准在让步范围内，32%＜灼减＜35%间，每上升0.1%，降价0.3%；35%≤灼减≤37%间，每上升0.1%，合同价格降0.8%；超出让步范围原则上退货或在原处罚基础上双倍扣罚。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4、粒度超出标准在让步范围内，扣超出吨位1.5倍；超出让步退货或按超出吨位双倍扣吨。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3.送货要求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1、厂外设有仓库，按我方要求随时准备送货进厂，进厂卸货服从我方管理。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w:t>
      </w:r>
      <w:r>
        <w:rPr>
          <w:rFonts w:hint="default" w:ascii="Times New Roman" w:hAnsi="Times New Roman" w:cs="Times New Roman"/>
          <w:b/>
          <w:bCs w:val="0"/>
          <w:color w:val="auto"/>
          <w:sz w:val="24"/>
          <w:szCs w:val="24"/>
          <w:u w:val="none" w:color="auto"/>
        </w:rPr>
        <w:t>包装吨袋质量必须保证</w:t>
      </w:r>
      <w:r>
        <w:rPr>
          <w:rFonts w:hint="default" w:ascii="Times New Roman" w:hAnsi="Times New Roman" w:cs="Times New Roman"/>
          <w:b w:val="0"/>
          <w:bCs/>
          <w:color w:val="auto"/>
          <w:sz w:val="24"/>
          <w:szCs w:val="24"/>
          <w:u w:val="none" w:color="auto"/>
        </w:rPr>
        <w:t>，如果因为吨袋质量问题导致在卸货过程中出现漏料、撒料的情况，全部责任由供方承担。</w:t>
      </w:r>
      <w:r>
        <w:rPr>
          <w:rFonts w:hint="eastAsia" w:cs="Times New Roman"/>
          <w:b w:val="0"/>
          <w:bCs/>
          <w:color w:val="auto"/>
          <w:sz w:val="24"/>
          <w:szCs w:val="24"/>
          <w:u w:val="none" w:color="auto"/>
          <w:lang w:eastAsia="zh-CN"/>
        </w:rPr>
        <w:t>包装袋上需有名称、厂家等信息。</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轻烧镁球卸至炼钢部库房。</w:t>
      </w:r>
    </w:p>
    <w:p>
      <w:pPr>
        <w:jc w:val="left"/>
        <w:rPr>
          <w:rFonts w:hint="eastAsia"/>
          <w:b/>
          <w:color w:val="auto"/>
          <w:sz w:val="24"/>
          <w:szCs w:val="24"/>
          <w:u w:val="none" w:color="auto"/>
          <w:lang w:val="en-US" w:eastAsia="zh-CN"/>
        </w:rPr>
      </w:pP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炼钢用轻烧镁球</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炼钢用轻烧镁球</w:t>
            </w:r>
          </w:p>
        </w:tc>
        <w:tc>
          <w:tcPr>
            <w:tcW w:w="671"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3500</w:t>
            </w:r>
            <w:r>
              <w:rPr>
                <w:rFonts w:hint="eastAsia" w:ascii="宋体" w:hAnsi="宋体"/>
                <w:b/>
                <w:color w:val="FF0000"/>
                <w:sz w:val="24"/>
                <w:szCs w:val="24"/>
              </w:rPr>
              <w:t>吨</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0"/>
    <w:multiLevelType w:val="singleLevel"/>
    <w:tmpl w:val="00000000"/>
    <w:lvl w:ilvl="0" w:tentative="0">
      <w:start w:val="4"/>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B5E1A54"/>
    <w:rsid w:val="0BFF25BD"/>
    <w:rsid w:val="0CBC295F"/>
    <w:rsid w:val="0D2F279C"/>
    <w:rsid w:val="0DF07D84"/>
    <w:rsid w:val="0E497616"/>
    <w:rsid w:val="0E842CB1"/>
    <w:rsid w:val="0F0803D8"/>
    <w:rsid w:val="0F347211"/>
    <w:rsid w:val="10CA64E1"/>
    <w:rsid w:val="110928F7"/>
    <w:rsid w:val="11654D47"/>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E13E30"/>
    <w:rsid w:val="61033D16"/>
    <w:rsid w:val="623E76D0"/>
    <w:rsid w:val="625B24D7"/>
    <w:rsid w:val="62CD795C"/>
    <w:rsid w:val="6438579B"/>
    <w:rsid w:val="655749FB"/>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2021-03-30T01:42:58Z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