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球化线</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rPr>
        <w:t>月</w:t>
      </w:r>
      <w:r>
        <w:rPr>
          <w:rFonts w:hint="eastAsia"/>
          <w:color w:val="000000"/>
          <w:sz w:val="24"/>
          <w:szCs w:val="24"/>
          <w:u w:val="single"/>
          <w:lang w:val="en-US" w:eastAsia="zh-CN"/>
        </w:rPr>
        <w:t>13</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ZH</w:t>
      </w:r>
      <w:r>
        <w:rPr>
          <w:rFonts w:hint="eastAsia" w:ascii="宋体" w:hAnsi="宋体"/>
          <w:u w:val="single"/>
          <w:lang w:val="en-US" w:eastAsia="zh-CN"/>
        </w:rPr>
        <w:t>SC202104009QHX</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highlight w:val="none"/>
          <w:lang w:val="en-US" w:eastAsia="zh-CN"/>
        </w:rPr>
        <w:t>球化线</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20</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4</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23日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firstLine="480" w:firstLineChars="20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满足铸件技术协议</w:t>
      </w:r>
      <w:r>
        <w:rPr>
          <w:rFonts w:hint="eastAsia" w:ascii="宋体" w:hAnsi="宋体"/>
          <w:b/>
          <w:color w:val="FF0000"/>
          <w:sz w:val="24"/>
          <w:szCs w:val="24"/>
        </w:rPr>
        <w:t>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六</w:t>
      </w:r>
      <w:r>
        <w:rPr>
          <w:rFonts w:hint="eastAsia" w:ascii="宋体" w:hAnsi="宋体"/>
          <w:b/>
          <w:color w:val="FF0000"/>
          <w:sz w:val="24"/>
          <w:szCs w:val="24"/>
        </w:rPr>
        <w:t>个月的供货量为：</w:t>
      </w:r>
      <w:r>
        <w:rPr>
          <w:rFonts w:hint="eastAsia" w:ascii="宋体" w:hAnsi="宋体"/>
          <w:b/>
          <w:color w:val="FF0000"/>
          <w:sz w:val="24"/>
          <w:szCs w:val="24"/>
          <w:lang w:val="en-US" w:eastAsia="zh-CN"/>
        </w:rPr>
        <w:t>球化线480</w:t>
      </w:r>
      <w:r>
        <w:rPr>
          <w:rFonts w:hint="eastAsia" w:ascii="宋体" w:hAnsi="宋体"/>
          <w:b/>
          <w:color w:val="FF0000"/>
          <w:sz w:val="24"/>
          <w:szCs w:val="24"/>
        </w:rPr>
        <w:t>吨（该数量为</w:t>
      </w:r>
      <w:r>
        <w:rPr>
          <w:rFonts w:hint="eastAsia" w:ascii="宋体" w:hAnsi="宋体"/>
          <w:b/>
          <w:color w:val="FF0000"/>
          <w:sz w:val="24"/>
          <w:szCs w:val="24"/>
          <w:lang w:val="en-US" w:eastAsia="zh-CN"/>
        </w:rPr>
        <w:t>六</w:t>
      </w:r>
      <w:r>
        <w:rPr>
          <w:rFonts w:hint="eastAsia" w:ascii="宋体" w:hAnsi="宋体"/>
          <w:b/>
          <w:color w:val="FF0000"/>
          <w:sz w:val="24"/>
          <w:szCs w:val="24"/>
        </w:rPr>
        <w:t>个月的理论需求数量，具体供货数量以生产单位实际用量为准，具体供货时间以商务部门通知为准）</w:t>
      </w:r>
      <w:r>
        <w:rPr>
          <w:rFonts w:hint="eastAsia" w:ascii="宋体" w:hAnsi="宋体"/>
          <w:b/>
          <w:color w:val="FF0000"/>
          <w:sz w:val="24"/>
          <w:szCs w:val="24"/>
          <w:lang w:eastAsia="zh-CN"/>
        </w:rPr>
        <w:t>。</w:t>
      </w:r>
      <w:r>
        <w:rPr>
          <w:rFonts w:hint="eastAsia" w:ascii="宋体" w:hAnsi="宋体"/>
          <w:b/>
          <w:color w:val="FF0000"/>
          <w:sz w:val="24"/>
          <w:szCs w:val="24"/>
          <w:lang w:val="en-US" w:eastAsia="zh-CN"/>
        </w:rPr>
        <w:t>报价注明供应数量</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lang w:eastAsia="zh-CN"/>
        </w:rPr>
      </w:pPr>
      <w:r>
        <w:rPr>
          <w:rFonts w:hint="eastAsia" w:ascii="宋体" w:hAnsi="宋体"/>
          <w:b/>
          <w:color w:val="FF0000"/>
          <w:sz w:val="24"/>
          <w:szCs w:val="24"/>
        </w:rPr>
        <w:t>成分要求：Mg: 29-31% Si: 42-46%  Ca :2.0-3.0%  Re :1.8-2.2%，线直径13mm。</w:t>
      </w:r>
      <w:r>
        <w:rPr>
          <w:rFonts w:hint="eastAsia" w:ascii="宋体" w:hAnsi="宋体"/>
          <w:b/>
          <w:color w:val="FF0000"/>
          <w:sz w:val="24"/>
          <w:szCs w:val="24"/>
          <w:lang w:eastAsia="zh-CN"/>
        </w:rPr>
        <w:t>（</w:t>
      </w:r>
      <w:r>
        <w:rPr>
          <w:rFonts w:hint="eastAsia" w:ascii="宋体" w:hAnsi="宋体"/>
          <w:b/>
          <w:color w:val="FF0000"/>
          <w:sz w:val="24"/>
          <w:szCs w:val="24"/>
          <w:lang w:val="en-US" w:eastAsia="zh-CN"/>
        </w:rPr>
        <w:t>注：线直径超标，拒绝接受使用</w:t>
      </w:r>
      <w:r>
        <w:rPr>
          <w:rFonts w:hint="eastAsia" w:ascii="宋体" w:hAnsi="宋体"/>
          <w:b/>
          <w:color w:val="FF0000"/>
          <w:sz w:val="24"/>
          <w:szCs w:val="24"/>
          <w:lang w:eastAsia="zh-CN"/>
        </w:rPr>
        <w:t>）</w:t>
      </w:r>
    </w:p>
    <w:p>
      <w:pPr>
        <w:numPr>
          <w:ilvl w:val="0"/>
          <w:numId w:val="8"/>
        </w:numPr>
        <w:spacing w:line="360" w:lineRule="auto"/>
        <w:ind w:firstLine="482" w:firstLineChars="200"/>
        <w:rPr>
          <w:rFonts w:hint="eastAsia" w:ascii="宋体" w:hAnsi="宋体"/>
          <w:b/>
          <w:color w:val="FF0000"/>
          <w:sz w:val="24"/>
          <w:szCs w:val="24"/>
        </w:rPr>
      </w:pPr>
      <w:bookmarkStart w:id="0" w:name="_GoBack"/>
      <w:bookmarkEnd w:id="0"/>
      <w:r>
        <w:rPr>
          <w:rFonts w:hint="eastAsia" w:ascii="宋体" w:hAnsi="宋体"/>
          <w:b/>
          <w:color w:val="FF0000"/>
          <w:sz w:val="24"/>
          <w:szCs w:val="24"/>
        </w:rPr>
        <w:t>扣款明细：</w:t>
      </w:r>
    </w:p>
    <w:p>
      <w:pPr>
        <w:numPr>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①、若Mg含量低于29%时，每降低1％，当月结算价格在合同价格基础上降低150元/吨；若Mg含量高于31%时，每升高1％，当月结算价格在合同价格基础上降低150元/吨；</w:t>
      </w:r>
    </w:p>
    <w:p>
      <w:pPr>
        <w:numPr>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②、若Si含量低于42%时，每降低1％，当月结算价格在合同价格基础上降低150元/吨；若Si含量高于46%时，每升高1％，当月结算价格在合同价格基础上降低150元/吨；</w:t>
      </w:r>
    </w:p>
    <w:p>
      <w:pPr>
        <w:numPr>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③、若Ca含量低于2.0%时，每降低1％，当月结算价格在合同价格基础上降低200元/吨；若Ca含量高于3%时，每升高1％，当月结算价格在合同价格基础上降低200元/吨；</w:t>
      </w:r>
    </w:p>
    <w:p>
      <w:pPr>
        <w:numPr>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④、若Re含量低于1.8%时，每降低1%，当月结算价格在合同价格基础上降低200元/吨；若Re含量高于2.2%时，每升高1%，当月结算价格在合同价格基础上降低200元/吨；若当批Re含量≤1%、Mg含量≤25%、Ca含量≤1%或线径超标，需方有权拒收，一切损失由供方承担。</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12500元/吨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大写：壹万贰仟伍佰元每吨</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eastAsia="宋体" w:cs="宋体"/>
          <w:szCs w:val="22"/>
          <w:lang w:eastAsia="zh-CN"/>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w:t>
      </w: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1312;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C3wZLWAAAABwEAAA8AAAAAAAAAAQAgAAAAIgAAAGRycy9kb3ducmV2Lnht&#10;bFBLAQIUABQAAAAIAIdO4kBTPubuwgEAAHcDAAAOAAAAAAAAAAEAIAAAACUBAABkcnMvZTJvRG9j&#10;LnhtbFBLBQYAAAAABgAGAFkBAABZBQ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球化线</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六</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球化线</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480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A6379C"/>
    <w:rsid w:val="01BA37EC"/>
    <w:rsid w:val="038D2F19"/>
    <w:rsid w:val="03D73F2C"/>
    <w:rsid w:val="043C4162"/>
    <w:rsid w:val="04823B21"/>
    <w:rsid w:val="05324816"/>
    <w:rsid w:val="05325D34"/>
    <w:rsid w:val="05350A6F"/>
    <w:rsid w:val="053B5FB3"/>
    <w:rsid w:val="05C52E89"/>
    <w:rsid w:val="05DE4E53"/>
    <w:rsid w:val="05E2284C"/>
    <w:rsid w:val="06312525"/>
    <w:rsid w:val="06CB7169"/>
    <w:rsid w:val="075A5136"/>
    <w:rsid w:val="07BA48CA"/>
    <w:rsid w:val="0831406E"/>
    <w:rsid w:val="085B58B3"/>
    <w:rsid w:val="08A96692"/>
    <w:rsid w:val="0B5E1A54"/>
    <w:rsid w:val="0BFF25BD"/>
    <w:rsid w:val="0CBC295F"/>
    <w:rsid w:val="0D2F279C"/>
    <w:rsid w:val="0D3B3025"/>
    <w:rsid w:val="0DF07D84"/>
    <w:rsid w:val="0E497616"/>
    <w:rsid w:val="0E842CB1"/>
    <w:rsid w:val="0F0803D8"/>
    <w:rsid w:val="0F347211"/>
    <w:rsid w:val="10CA64E1"/>
    <w:rsid w:val="110928F7"/>
    <w:rsid w:val="11654D47"/>
    <w:rsid w:val="135C10D5"/>
    <w:rsid w:val="139F3DA1"/>
    <w:rsid w:val="13D576D7"/>
    <w:rsid w:val="14881933"/>
    <w:rsid w:val="14A3775E"/>
    <w:rsid w:val="14D54711"/>
    <w:rsid w:val="154D48F1"/>
    <w:rsid w:val="158A4695"/>
    <w:rsid w:val="16541AFE"/>
    <w:rsid w:val="1694444C"/>
    <w:rsid w:val="17131114"/>
    <w:rsid w:val="1724223F"/>
    <w:rsid w:val="17F97F08"/>
    <w:rsid w:val="18560C92"/>
    <w:rsid w:val="18D37121"/>
    <w:rsid w:val="18ED4DB4"/>
    <w:rsid w:val="19B16948"/>
    <w:rsid w:val="1A8A6D05"/>
    <w:rsid w:val="1AA53F86"/>
    <w:rsid w:val="1B606291"/>
    <w:rsid w:val="1B846959"/>
    <w:rsid w:val="1C430554"/>
    <w:rsid w:val="1CCB1E53"/>
    <w:rsid w:val="1D2E11E1"/>
    <w:rsid w:val="1E52391D"/>
    <w:rsid w:val="1E8C7D42"/>
    <w:rsid w:val="1E8E57E6"/>
    <w:rsid w:val="1E937D02"/>
    <w:rsid w:val="1F0B69B1"/>
    <w:rsid w:val="1F107E3E"/>
    <w:rsid w:val="1F4242F7"/>
    <w:rsid w:val="1F802445"/>
    <w:rsid w:val="1FF51B5E"/>
    <w:rsid w:val="205026F2"/>
    <w:rsid w:val="21133B37"/>
    <w:rsid w:val="21534F77"/>
    <w:rsid w:val="21A2160C"/>
    <w:rsid w:val="21E966E6"/>
    <w:rsid w:val="22B96773"/>
    <w:rsid w:val="22E00851"/>
    <w:rsid w:val="235C23EB"/>
    <w:rsid w:val="23CB766B"/>
    <w:rsid w:val="23D22DCD"/>
    <w:rsid w:val="246A25A2"/>
    <w:rsid w:val="25206CD2"/>
    <w:rsid w:val="25230E4D"/>
    <w:rsid w:val="25B129B0"/>
    <w:rsid w:val="268D7081"/>
    <w:rsid w:val="26F50CB1"/>
    <w:rsid w:val="26F906B4"/>
    <w:rsid w:val="278055FF"/>
    <w:rsid w:val="27926BEF"/>
    <w:rsid w:val="288D3DC5"/>
    <w:rsid w:val="28E2171B"/>
    <w:rsid w:val="29401D6D"/>
    <w:rsid w:val="2BBB5AD5"/>
    <w:rsid w:val="2BF10F3E"/>
    <w:rsid w:val="2BF40243"/>
    <w:rsid w:val="2C204052"/>
    <w:rsid w:val="2C4E01C4"/>
    <w:rsid w:val="2CF31D5E"/>
    <w:rsid w:val="2E3D1B0F"/>
    <w:rsid w:val="2EA431DB"/>
    <w:rsid w:val="2EDD294B"/>
    <w:rsid w:val="2F163A70"/>
    <w:rsid w:val="2F6834F3"/>
    <w:rsid w:val="3036622A"/>
    <w:rsid w:val="30474844"/>
    <w:rsid w:val="30CA3841"/>
    <w:rsid w:val="3130279D"/>
    <w:rsid w:val="31DF7B93"/>
    <w:rsid w:val="324F62A8"/>
    <w:rsid w:val="32F7522E"/>
    <w:rsid w:val="339D246B"/>
    <w:rsid w:val="33E36316"/>
    <w:rsid w:val="342060A8"/>
    <w:rsid w:val="34BB556C"/>
    <w:rsid w:val="35212328"/>
    <w:rsid w:val="358603F2"/>
    <w:rsid w:val="36A65EF8"/>
    <w:rsid w:val="36B015D0"/>
    <w:rsid w:val="36FB2C59"/>
    <w:rsid w:val="373827F1"/>
    <w:rsid w:val="379345D1"/>
    <w:rsid w:val="37974BFF"/>
    <w:rsid w:val="37BE23C2"/>
    <w:rsid w:val="37F27DC4"/>
    <w:rsid w:val="387F2F2C"/>
    <w:rsid w:val="38F01608"/>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B9202C"/>
    <w:rsid w:val="3EB93F1F"/>
    <w:rsid w:val="3EC14D90"/>
    <w:rsid w:val="3EF869AA"/>
    <w:rsid w:val="3F0B65A3"/>
    <w:rsid w:val="3FC82DB5"/>
    <w:rsid w:val="404A6AC9"/>
    <w:rsid w:val="41394D83"/>
    <w:rsid w:val="41A706B0"/>
    <w:rsid w:val="41BF02F4"/>
    <w:rsid w:val="422E1FDF"/>
    <w:rsid w:val="42360CA0"/>
    <w:rsid w:val="423C71D1"/>
    <w:rsid w:val="426213B7"/>
    <w:rsid w:val="42CE1EFE"/>
    <w:rsid w:val="44212EB5"/>
    <w:rsid w:val="44367FF1"/>
    <w:rsid w:val="4500284B"/>
    <w:rsid w:val="451328A8"/>
    <w:rsid w:val="45407B03"/>
    <w:rsid w:val="45C004AA"/>
    <w:rsid w:val="47847BD9"/>
    <w:rsid w:val="47AD4330"/>
    <w:rsid w:val="48582775"/>
    <w:rsid w:val="48E1049E"/>
    <w:rsid w:val="49280B38"/>
    <w:rsid w:val="492C5B3D"/>
    <w:rsid w:val="49A4783E"/>
    <w:rsid w:val="4A85340F"/>
    <w:rsid w:val="4ACE7F4F"/>
    <w:rsid w:val="4AED65F2"/>
    <w:rsid w:val="4B635392"/>
    <w:rsid w:val="4BA21255"/>
    <w:rsid w:val="4DC66F68"/>
    <w:rsid w:val="50B71096"/>
    <w:rsid w:val="514F2EE0"/>
    <w:rsid w:val="51A458AF"/>
    <w:rsid w:val="52E54E97"/>
    <w:rsid w:val="52EE0AE7"/>
    <w:rsid w:val="536967A8"/>
    <w:rsid w:val="53AB6FFE"/>
    <w:rsid w:val="54F10667"/>
    <w:rsid w:val="554C057B"/>
    <w:rsid w:val="56065626"/>
    <w:rsid w:val="562E1D47"/>
    <w:rsid w:val="566E6D8E"/>
    <w:rsid w:val="56FF0A43"/>
    <w:rsid w:val="57AC75B3"/>
    <w:rsid w:val="57D705F2"/>
    <w:rsid w:val="598A03E4"/>
    <w:rsid w:val="5AAF6E02"/>
    <w:rsid w:val="5AEA3AD0"/>
    <w:rsid w:val="5B1D2529"/>
    <w:rsid w:val="5B35349E"/>
    <w:rsid w:val="5B527398"/>
    <w:rsid w:val="5BA959B9"/>
    <w:rsid w:val="5CC70FAC"/>
    <w:rsid w:val="5D173705"/>
    <w:rsid w:val="5D1B4B8A"/>
    <w:rsid w:val="5D915ACD"/>
    <w:rsid w:val="5E4878B0"/>
    <w:rsid w:val="5E611270"/>
    <w:rsid w:val="5EB2026E"/>
    <w:rsid w:val="5FE13E30"/>
    <w:rsid w:val="61033D16"/>
    <w:rsid w:val="61472EBE"/>
    <w:rsid w:val="623E76D0"/>
    <w:rsid w:val="625B24D7"/>
    <w:rsid w:val="62CD795C"/>
    <w:rsid w:val="6438579B"/>
    <w:rsid w:val="655749FB"/>
    <w:rsid w:val="65E5671A"/>
    <w:rsid w:val="66EA0C9A"/>
    <w:rsid w:val="66FB3BC1"/>
    <w:rsid w:val="678F7868"/>
    <w:rsid w:val="686F59C5"/>
    <w:rsid w:val="68985C4A"/>
    <w:rsid w:val="68BB275A"/>
    <w:rsid w:val="694F1BC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CC5666F"/>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2021-04-13T09:17:38Z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87BA7C0AFCCC4A2EA7EF531C79987AA4</vt:lpwstr>
  </property>
</Properties>
</file>