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落槽砖等一批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ZGZJ</w:t>
      </w:r>
      <w:r>
        <w:rPr>
          <w:rFonts w:hint="eastAsia" w:ascii="宋体" w:hAnsi="宋体"/>
          <w:u w:val="single"/>
          <w:lang w:val="en-US" w:eastAsia="zh-CN"/>
        </w:rPr>
        <w:t>SC202105002LCZDYP</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落槽砖等一批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石  </w:t>
      </w:r>
      <w:r>
        <w:rPr>
          <w:rFonts w:hint="eastAsia" w:ascii="宋体" w:hAnsi="宋体" w:cs="Times New Roman"/>
          <w:kern w:val="2"/>
          <w:sz w:val="24"/>
          <w:szCs w:val="24"/>
          <w:lang w:val="en-US" w:eastAsia="zh-CN" w:bidi="ar-SA"/>
        </w:rPr>
        <w:t>工</w:t>
      </w:r>
      <w:r>
        <w:rPr>
          <w:rFonts w:hint="eastAsia" w:ascii="宋体" w:hAnsi="宋体" w:eastAsia="宋体" w:cs="Times New Roman"/>
          <w:kern w:val="2"/>
          <w:sz w:val="24"/>
          <w:szCs w:val="24"/>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14日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bookmarkStart w:id="0" w:name="_GoBack"/>
      <w:bookmarkEnd w:id="0"/>
      <w:r>
        <w:rPr>
          <w:rFonts w:hint="eastAsia" w:ascii="宋体" w:hAnsi="宋体"/>
          <w:bCs/>
          <w:color w:val="0000FF"/>
          <w:sz w:val="24"/>
          <w:szCs w:val="24"/>
          <w:u w:val="single"/>
          <w:lang w:val="en-US"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r>
        <w:rPr>
          <w:rFonts w:hint="eastAsia" w:ascii="宋体" w:hAnsi="宋体"/>
          <w:b/>
          <w:color w:val="FF0000"/>
          <w:sz w:val="22"/>
          <w:szCs w:val="22"/>
          <w:lang w:eastAsia="zh-CN"/>
        </w:rPr>
        <w:t>，</w:t>
      </w:r>
      <w:r>
        <w:rPr>
          <w:rFonts w:hint="eastAsia" w:ascii="宋体" w:hAnsi="宋体"/>
          <w:b/>
          <w:color w:val="FF0000"/>
          <w:sz w:val="22"/>
          <w:szCs w:val="22"/>
          <w:lang w:val="en-US" w:eastAsia="zh-CN"/>
        </w:rPr>
        <w:t>详见技术协议</w:t>
      </w:r>
      <w:r>
        <w:rPr>
          <w:rFonts w:hint="eastAsia" w:ascii="宋体" w:hAnsi="宋体"/>
          <w:b/>
          <w:color w:val="FF0000"/>
          <w:sz w:val="22"/>
          <w:szCs w:val="22"/>
        </w:rPr>
        <w:t>。</w:t>
      </w:r>
    </w:p>
    <w:p>
      <w:pPr>
        <w:spacing w:line="360" w:lineRule="auto"/>
        <w:ind w:firstLine="442" w:firstLineChars="200"/>
        <w:rPr>
          <w:rFonts w:hint="eastAsia" w:ascii="宋体" w:hAnsi="宋体"/>
          <w:b/>
          <w:color w:val="FF0000"/>
          <w:sz w:val="22"/>
          <w:szCs w:val="22"/>
          <w:lang w:val="en-US" w:eastAsia="zh-CN"/>
        </w:rPr>
      </w:pPr>
      <w:r>
        <w:rPr>
          <w:rFonts w:hint="eastAsia" w:ascii="宋体" w:hAnsi="宋体"/>
          <w:b/>
          <w:color w:val="FF0000"/>
          <w:sz w:val="22"/>
          <w:szCs w:val="22"/>
          <w:lang w:val="en-US" w:eastAsia="zh-CN"/>
        </w:rPr>
        <w:t>此次招标招6个月的供货量，分六个标段，供货明细表如下，要求投标厂家在报名时提供业内至少一份钢厂同类型合同复印件作业绩证明。</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320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99"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物资名称</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数量</w:t>
            </w:r>
          </w:p>
        </w:tc>
        <w:tc>
          <w:tcPr>
            <w:tcW w:w="3200" w:type="dxa"/>
            <w:noWrap w:val="0"/>
            <w:vAlign w:val="center"/>
          </w:tcPr>
          <w:p>
            <w:pPr>
              <w:spacing w:line="360" w:lineRule="auto"/>
              <w:jc w:val="center"/>
              <w:rPr>
                <w:rFonts w:hint="default" w:ascii="宋体" w:hAnsi="宋体"/>
                <w:b/>
                <w:color w:val="FF0000"/>
                <w:sz w:val="28"/>
                <w:szCs w:val="28"/>
                <w:vertAlign w:val="baseline"/>
                <w:lang w:val="en-US" w:eastAsia="zh-CN"/>
              </w:rPr>
            </w:pPr>
            <w:r>
              <w:rPr>
                <w:rFonts w:hint="eastAsia" w:ascii="宋体" w:hAnsi="宋体"/>
                <w:b/>
                <w:color w:val="FF000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99"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落槽砖DN100-350</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1000套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99" w:type="dxa"/>
            <w:noWrap w:val="0"/>
            <w:vAlign w:val="center"/>
          </w:tcPr>
          <w:p>
            <w:pPr>
              <w:spacing w:line="360" w:lineRule="auto"/>
              <w:jc w:val="center"/>
              <w:rPr>
                <w:rFonts w:hint="eastAsia" w:ascii="宋体" w:hAnsi="宋体"/>
                <w:b/>
                <w:color w:val="FF0000"/>
                <w:sz w:val="22"/>
                <w:szCs w:val="22"/>
                <w:vertAlign w:val="baseline"/>
                <w:lang w:eastAsia="zh-CN"/>
              </w:rPr>
            </w:pPr>
            <w:r>
              <w:rPr>
                <w:rFonts w:hint="eastAsia" w:ascii="宋体" w:hAnsi="宋体"/>
                <w:b/>
                <w:color w:val="FF0000"/>
                <w:sz w:val="22"/>
                <w:szCs w:val="22"/>
                <w:vertAlign w:val="baseline"/>
                <w:lang w:val="en-US" w:eastAsia="zh-CN"/>
              </w:rPr>
              <w:t>落槽砖DN400-700</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330套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99"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落槽砖DN800-1200</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180套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99" w:type="dxa"/>
            <w:noWrap w:val="0"/>
            <w:vAlign w:val="center"/>
          </w:tcPr>
          <w:p>
            <w:pPr>
              <w:spacing w:line="360" w:lineRule="auto"/>
              <w:jc w:val="center"/>
              <w:rPr>
                <w:rFonts w:hint="eastAsia" w:ascii="宋体" w:hAnsi="宋体"/>
                <w:b/>
                <w:color w:val="FF0000"/>
                <w:sz w:val="22"/>
                <w:szCs w:val="22"/>
                <w:vertAlign w:val="baseline"/>
                <w:lang w:eastAsia="zh-CN"/>
              </w:rPr>
            </w:pPr>
            <w:r>
              <w:rPr>
                <w:rFonts w:hint="eastAsia" w:ascii="宋体" w:hAnsi="宋体"/>
                <w:b/>
                <w:color w:val="FF0000"/>
                <w:sz w:val="22"/>
                <w:szCs w:val="22"/>
                <w:vertAlign w:val="baseline"/>
                <w:lang w:val="en-US" w:eastAsia="zh-CN"/>
              </w:rPr>
              <w:t>落槽砖DN1200-2600</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36套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99"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石墨耙子</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1000块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99"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石墨包嘴</w:t>
            </w:r>
          </w:p>
        </w:tc>
        <w:tc>
          <w:tcPr>
            <w:tcW w:w="3200" w:type="dxa"/>
            <w:noWrap w:val="0"/>
            <w:vAlign w:val="center"/>
          </w:tcPr>
          <w:p>
            <w:pPr>
              <w:spacing w:line="360" w:lineRule="auto"/>
              <w:jc w:val="center"/>
              <w:rPr>
                <w:rFonts w:hint="default" w:ascii="宋体" w:hAnsi="宋体"/>
                <w:b/>
                <w:color w:val="FF0000"/>
                <w:sz w:val="22"/>
                <w:szCs w:val="22"/>
                <w:vertAlign w:val="baseline"/>
                <w:lang w:val="en-US" w:eastAsia="zh-CN"/>
              </w:rPr>
            </w:pPr>
            <w:r>
              <w:rPr>
                <w:rFonts w:hint="eastAsia" w:ascii="宋体" w:hAnsi="宋体"/>
                <w:b/>
                <w:color w:val="FF0000"/>
                <w:sz w:val="22"/>
                <w:szCs w:val="22"/>
                <w:vertAlign w:val="baseline"/>
                <w:lang w:val="en-US" w:eastAsia="zh-CN"/>
              </w:rPr>
              <w:t>360块</w:t>
            </w:r>
          </w:p>
        </w:tc>
        <w:tc>
          <w:tcPr>
            <w:tcW w:w="3200" w:type="dxa"/>
            <w:noWrap w:val="0"/>
            <w:vAlign w:val="center"/>
          </w:tcPr>
          <w:p>
            <w:pPr>
              <w:spacing w:line="360" w:lineRule="auto"/>
              <w:jc w:val="center"/>
              <w:rPr>
                <w:rFonts w:hint="eastAsia" w:ascii="宋体" w:hAnsi="宋体"/>
                <w:b/>
                <w:color w:val="FF0000"/>
                <w:sz w:val="28"/>
                <w:szCs w:val="28"/>
                <w:vertAlign w:val="baseline"/>
                <w:lang w:eastAsia="zh-CN"/>
              </w:rPr>
            </w:pPr>
          </w:p>
        </w:tc>
      </w:tr>
    </w:tbl>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w:t>
      </w:r>
      <w:r>
        <w:rPr>
          <w:rFonts w:hint="eastAsia" w:ascii="宋体" w:hAnsi="宋体"/>
          <w:b/>
          <w:color w:val="FF0000"/>
          <w:sz w:val="22"/>
          <w:szCs w:val="22"/>
          <w:lang w:val="en-US" w:eastAsia="zh-CN"/>
        </w:rPr>
        <w:t>落槽砖DN100-350最高投标限价为：660/套；</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8"/>
          <w:szCs w:val="28"/>
          <w:vertAlign w:val="baseline"/>
          <w:lang w:val="en-US" w:eastAsia="zh-CN"/>
        </w:rPr>
        <w:t>、</w:t>
      </w:r>
      <w:r>
        <w:rPr>
          <w:rFonts w:hint="eastAsia" w:ascii="宋体" w:hAnsi="宋体"/>
          <w:b/>
          <w:color w:val="FF0000"/>
          <w:sz w:val="22"/>
          <w:szCs w:val="22"/>
          <w:lang w:val="en-US" w:eastAsia="zh-CN"/>
        </w:rPr>
        <w:t>落槽砖DN400-700最高投标限价为：770元/套；</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、落槽砖DN800-1200最高投标限价为：1260元/套；</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、落槽砖DN1200-2600最高投标限价为：2270元/套；</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、石墨耙子</w:t>
      </w:r>
      <w:r>
        <w:rPr>
          <w:rFonts w:hint="eastAsia" w:ascii="宋体" w:hAnsi="宋体"/>
          <w:b/>
          <w:color w:val="FF0000"/>
          <w:sz w:val="22"/>
          <w:szCs w:val="22"/>
          <w:lang w:val="en-US" w:eastAsia="zh-CN"/>
        </w:rPr>
        <w:t>最高投标限价为：50元/块；</w:t>
      </w:r>
    </w:p>
    <w:p>
      <w:pPr>
        <w:numPr>
          <w:ilvl w:val="0"/>
          <w:numId w:val="9"/>
        </w:numPr>
        <w:spacing w:line="360" w:lineRule="auto"/>
        <w:ind w:left="630" w:leftChars="0" w:firstLine="0"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、石墨包嘴</w:t>
      </w:r>
      <w:r>
        <w:rPr>
          <w:rFonts w:hint="eastAsia" w:ascii="宋体" w:hAnsi="宋体"/>
          <w:b/>
          <w:color w:val="FF0000"/>
          <w:sz w:val="22"/>
          <w:szCs w:val="22"/>
          <w:lang w:val="en-US" w:eastAsia="zh-CN"/>
        </w:rPr>
        <w:t>最高投标限价为：280元/块；</w:t>
      </w:r>
    </w:p>
    <w:p>
      <w:pPr>
        <w:numPr>
          <w:numId w:val="0"/>
        </w:numPr>
        <w:spacing w:line="360" w:lineRule="auto"/>
        <w:ind w:left="640" w:leftChars="0"/>
        <w:rPr>
          <w:rFonts w:hint="eastAsia" w:ascii="宋体" w:hAnsi="宋体"/>
          <w:b/>
          <w:color w:val="FF0000"/>
          <w:sz w:val="22"/>
          <w:szCs w:val="22"/>
        </w:rPr>
      </w:pP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落槽砖等一批</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pPr w:leftFromText="180" w:rightFromText="180" w:vertAnchor="text" w:horzAnchor="page" w:tblpX="1462" w:tblpY="352"/>
        <w:tblOverlap w:val="never"/>
        <w:tblW w:w="9500" w:type="dxa"/>
        <w:tblInd w:w="0" w:type="dxa"/>
        <w:tblLayout w:type="fixed"/>
        <w:tblCellMar>
          <w:top w:w="0" w:type="dxa"/>
          <w:left w:w="0" w:type="dxa"/>
          <w:bottom w:w="0" w:type="dxa"/>
          <w:right w:w="0" w:type="dxa"/>
        </w:tblCellMar>
      </w:tblPr>
      <w:tblGrid>
        <w:gridCol w:w="2714"/>
        <w:gridCol w:w="950"/>
        <w:gridCol w:w="2300"/>
        <w:gridCol w:w="3536"/>
      </w:tblGrid>
      <w:tr>
        <w:tblPrEx>
          <w:tblCellMar>
            <w:top w:w="0" w:type="dxa"/>
            <w:left w:w="0" w:type="dxa"/>
            <w:bottom w:w="0" w:type="dxa"/>
            <w:right w:w="0" w:type="dxa"/>
          </w:tblCellMar>
        </w:tblPrEx>
        <w:trPr>
          <w:trHeight w:val="657" w:hRule="atLeast"/>
        </w:trPr>
        <w:tc>
          <w:tcPr>
            <w:tcW w:w="2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物资名称</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数</w:t>
            </w:r>
            <w:r>
              <w:rPr>
                <w:rStyle w:val="26"/>
                <w:b/>
                <w:bCs/>
                <w:color w:val="FF0000"/>
                <w:lang w:val="en-US" w:eastAsia="zh-CN" w:bidi="ar"/>
              </w:rPr>
              <w:t xml:space="preserve">  量</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单价</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总价（元）</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落槽砖DN100-350</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1000套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b/>
                <w:bCs/>
                <w:i w:val="0"/>
                <w:color w:val="FF0000"/>
                <w:sz w:val="28"/>
                <w:szCs w:val="28"/>
                <w:u w:val="none"/>
                <w:lang w:val="en-US" w:eastAsia="zh-CN"/>
              </w:rPr>
            </w:pPr>
            <w:r>
              <w:rPr>
                <w:rFonts w:hint="eastAsia" w:ascii="宋体" w:hAnsi="宋体" w:cs="宋体"/>
                <w:b/>
                <w:bCs/>
                <w:i w:val="0"/>
                <w:color w:val="FF0000"/>
                <w:sz w:val="28"/>
                <w:szCs w:val="28"/>
                <w:u w:val="none"/>
                <w:lang w:val="en-US" w:eastAsia="zh-CN"/>
              </w:rPr>
              <w:t xml:space="preserve">  </w:t>
            </w: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default" w:ascii="宋体" w:hAnsi="宋体" w:eastAsia="宋体" w:cs="宋体"/>
                <w:b/>
                <w:bCs/>
                <w:i w:val="0"/>
                <w:color w:val="FF0000"/>
                <w:sz w:val="28"/>
                <w:szCs w:val="28"/>
                <w:u w:val="none"/>
                <w:lang w:val="en-US" w:eastAsia="zh-CN"/>
              </w:rPr>
            </w:pPr>
            <w:r>
              <w:rPr>
                <w:rFonts w:hint="eastAsia" w:ascii="宋体" w:hAnsi="宋体" w:cs="宋体"/>
                <w:b/>
                <w:bCs/>
                <w:i w:val="0"/>
                <w:color w:val="FF0000"/>
                <w:sz w:val="28"/>
                <w:szCs w:val="28"/>
                <w:u w:val="none"/>
                <w:lang w:val="en-US" w:eastAsia="zh-CN"/>
              </w:rPr>
              <w:t xml:space="preserve">小写：        </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FF0000"/>
              </w:rP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落槽砖DN400-700</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330套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none"/>
                <w:lang w:val="en-US" w:eastAsia="zh-CN"/>
              </w:rPr>
              <w:t xml:space="preserve"> </w:t>
            </w: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小写：</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FF0000"/>
              </w:rP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落槽砖DN800-1200</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180套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小写：</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FF0000"/>
              </w:rP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落槽砖DN1200-2600</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36套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none"/>
                <w:lang w:val="en-US" w:eastAsia="zh-CN"/>
              </w:rPr>
              <w:t xml:space="preserve"> </w:t>
            </w: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小写：</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FF0000"/>
              </w:rP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石墨耙子</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1000块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none"/>
                <w:lang w:val="en-US" w:eastAsia="zh-CN"/>
              </w:rPr>
              <w:t xml:space="preserve"> </w:t>
            </w: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小写：</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FF0000"/>
              </w:rP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331" w:hRule="atLeast"/>
        </w:trPr>
        <w:tc>
          <w:tcPr>
            <w:tcW w:w="27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石墨包嘴</w:t>
            </w:r>
          </w:p>
        </w:tc>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360块</w:t>
            </w:r>
          </w:p>
        </w:tc>
        <w:tc>
          <w:tcPr>
            <w:tcW w:w="23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FF0000"/>
                <w:sz w:val="28"/>
                <w:szCs w:val="28"/>
                <w:u w:val="none"/>
              </w:rPr>
            </w:pPr>
            <w:r>
              <w:rPr>
                <w:rFonts w:hint="eastAsia" w:ascii="宋体" w:hAnsi="宋体" w:cs="宋体"/>
                <w:b/>
                <w:bCs/>
                <w:i w:val="0"/>
                <w:color w:val="FF0000"/>
                <w:sz w:val="28"/>
                <w:szCs w:val="28"/>
                <w:u w:val="single"/>
                <w:lang w:val="en-US" w:eastAsia="zh-CN"/>
              </w:rPr>
              <w:t xml:space="preserve">          </w:t>
            </w:r>
            <w:r>
              <w:rPr>
                <w:rFonts w:hint="eastAsia" w:ascii="宋体" w:hAnsi="宋体" w:cs="宋体"/>
                <w:b/>
                <w:bCs/>
                <w:i w:val="0"/>
                <w:color w:val="FF0000"/>
                <w:sz w:val="28"/>
                <w:szCs w:val="28"/>
                <w:u w:val="none"/>
                <w:lang w:val="en-US" w:eastAsia="zh-CN"/>
              </w:rPr>
              <w:t>元/块</w:t>
            </w: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小写：</w:t>
            </w:r>
          </w:p>
        </w:tc>
      </w:tr>
      <w:tr>
        <w:tblPrEx>
          <w:tblCellMar>
            <w:top w:w="0" w:type="dxa"/>
            <w:left w:w="0" w:type="dxa"/>
            <w:bottom w:w="0" w:type="dxa"/>
            <w:right w:w="0" w:type="dxa"/>
          </w:tblCellMar>
        </w:tblPrEx>
        <w:trPr>
          <w:trHeight w:val="331" w:hRule="atLeast"/>
        </w:trPr>
        <w:tc>
          <w:tcPr>
            <w:tcW w:w="27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pPr>
          </w:p>
        </w:tc>
        <w:tc>
          <w:tcPr>
            <w:tcW w:w="3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b/>
                <w:bCs/>
                <w:i w:val="0"/>
                <w:color w:val="FF0000"/>
                <w:kern w:val="2"/>
                <w:sz w:val="28"/>
                <w:szCs w:val="28"/>
                <w:u w:val="none"/>
                <w:lang w:val="en-US" w:eastAsia="zh-CN" w:bidi="ar-SA"/>
              </w:rPr>
            </w:pPr>
            <w:r>
              <w:rPr>
                <w:rFonts w:hint="eastAsia" w:ascii="宋体" w:hAnsi="宋体" w:cs="宋体"/>
                <w:b/>
                <w:bCs/>
                <w:i w:val="0"/>
                <w:color w:val="FF0000"/>
                <w:sz w:val="28"/>
                <w:szCs w:val="28"/>
                <w:u w:val="none"/>
                <w:lang w:val="en-US" w:eastAsia="zh-CN"/>
              </w:rPr>
              <w:t>大写：</w:t>
            </w:r>
          </w:p>
        </w:tc>
      </w:tr>
      <w:tr>
        <w:tblPrEx>
          <w:tblCellMar>
            <w:top w:w="0" w:type="dxa"/>
            <w:left w:w="0" w:type="dxa"/>
            <w:bottom w:w="0" w:type="dxa"/>
            <w:right w:w="0" w:type="dxa"/>
          </w:tblCellMar>
        </w:tblPrEx>
        <w:trPr>
          <w:trHeight w:val="657" w:hRule="atLeast"/>
        </w:trPr>
        <w:tc>
          <w:tcPr>
            <w:tcW w:w="95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备注: 以上报价含税13%、含运费，一票制</w:t>
            </w:r>
          </w:p>
        </w:tc>
      </w:tr>
      <w:tr>
        <w:tblPrEx>
          <w:tblCellMar>
            <w:top w:w="0" w:type="dxa"/>
            <w:left w:w="0" w:type="dxa"/>
            <w:bottom w:w="0" w:type="dxa"/>
            <w:right w:w="0" w:type="dxa"/>
          </w:tblCellMar>
        </w:tblPrEx>
        <w:trPr>
          <w:trHeight w:val="657" w:hRule="atLeast"/>
        </w:trPr>
        <w:tc>
          <w:tcPr>
            <w:tcW w:w="95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投标单位名称：</w:t>
            </w:r>
          </w:p>
        </w:tc>
      </w:tr>
      <w:tr>
        <w:tblPrEx>
          <w:tblCellMar>
            <w:top w:w="0" w:type="dxa"/>
            <w:left w:w="0" w:type="dxa"/>
            <w:bottom w:w="0" w:type="dxa"/>
            <w:right w:w="0" w:type="dxa"/>
          </w:tblCellMar>
        </w:tblPrEx>
        <w:trPr>
          <w:trHeight w:val="657" w:hRule="atLeast"/>
        </w:trPr>
        <w:tc>
          <w:tcPr>
            <w:tcW w:w="95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投标单位公章及签字：</w:t>
            </w:r>
          </w:p>
        </w:tc>
      </w:tr>
      <w:tr>
        <w:tblPrEx>
          <w:tblCellMar>
            <w:top w:w="0" w:type="dxa"/>
            <w:left w:w="0" w:type="dxa"/>
            <w:bottom w:w="0" w:type="dxa"/>
            <w:right w:w="0" w:type="dxa"/>
          </w:tblCellMar>
        </w:tblPrEx>
        <w:trPr>
          <w:trHeight w:val="667" w:hRule="atLeast"/>
        </w:trPr>
        <w:tc>
          <w:tcPr>
            <w:tcW w:w="95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bCs/>
                <w:i w:val="0"/>
                <w:color w:val="FF0000"/>
                <w:sz w:val="28"/>
                <w:szCs w:val="28"/>
                <w:u w:val="none"/>
              </w:rPr>
            </w:pPr>
            <w:r>
              <w:rPr>
                <w:rFonts w:hint="eastAsia" w:ascii="宋体" w:hAnsi="宋体" w:eastAsia="宋体" w:cs="宋体"/>
                <w:b/>
                <w:bCs/>
                <w:i w:val="0"/>
                <w:color w:val="FF0000"/>
                <w:kern w:val="0"/>
                <w:sz w:val="28"/>
                <w:szCs w:val="28"/>
                <w:u w:val="none"/>
                <w:lang w:val="en-US" w:eastAsia="zh-CN" w:bidi="ar"/>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7D9F"/>
    <w:multiLevelType w:val="singleLevel"/>
    <w:tmpl w:val="8DCA7D9F"/>
    <w:lvl w:ilvl="0" w:tentative="0">
      <w:start w:val="1"/>
      <w:numFmt w:val="decimal"/>
      <w:suff w:val="nothing"/>
      <w:lvlText w:val="（%1）"/>
      <w:lvlJc w:val="left"/>
      <w:pPr>
        <w:ind w:left="630" w:leftChars="0" w:firstLine="0" w:firstLineChars="0"/>
      </w:pPr>
    </w:lvl>
  </w:abstractNum>
  <w:abstractNum w:abstractNumId="1">
    <w:nsid w:val="BAAD3FFC"/>
    <w:multiLevelType w:val="singleLevel"/>
    <w:tmpl w:val="BAAD3FFC"/>
    <w:lvl w:ilvl="0" w:tentative="0">
      <w:start w:val="1"/>
      <w:numFmt w:val="decimal"/>
      <w:suff w:val="nothing"/>
      <w:lvlText w:val="%1、"/>
      <w:lvlJc w:val="left"/>
      <w:pPr>
        <w:ind w:left="-22"/>
      </w:pPr>
    </w:lvl>
  </w:abstractNum>
  <w:abstractNum w:abstractNumId="2">
    <w:nsid w:val="D639B689"/>
    <w:multiLevelType w:val="singleLevel"/>
    <w:tmpl w:val="D639B689"/>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66848"/>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144C0D"/>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65869"/>
    <w:rsid w:val="0BFF25BD"/>
    <w:rsid w:val="0CBC295F"/>
    <w:rsid w:val="0D2F279C"/>
    <w:rsid w:val="0DF07D84"/>
    <w:rsid w:val="0E497616"/>
    <w:rsid w:val="0E842CB1"/>
    <w:rsid w:val="0F0803D8"/>
    <w:rsid w:val="0F347211"/>
    <w:rsid w:val="10CA64E1"/>
    <w:rsid w:val="110928F7"/>
    <w:rsid w:val="11654D47"/>
    <w:rsid w:val="118E286C"/>
    <w:rsid w:val="135C10D5"/>
    <w:rsid w:val="139F3DA1"/>
    <w:rsid w:val="13D576D7"/>
    <w:rsid w:val="14772C2B"/>
    <w:rsid w:val="14881933"/>
    <w:rsid w:val="154D48F1"/>
    <w:rsid w:val="158A4695"/>
    <w:rsid w:val="162D1E6E"/>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1B7F2E"/>
    <w:rsid w:val="43DE4636"/>
    <w:rsid w:val="44367FF1"/>
    <w:rsid w:val="445B2CFF"/>
    <w:rsid w:val="4500284B"/>
    <w:rsid w:val="45407B03"/>
    <w:rsid w:val="45C004AA"/>
    <w:rsid w:val="46587D68"/>
    <w:rsid w:val="468338D0"/>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2870174"/>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21"/>
    <w:basedOn w:val="12"/>
    <w:qFormat/>
    <w:uiPriority w:val="0"/>
    <w:rPr>
      <w:rFonts w:hint="default" w:ascii="Times New Roman" w:hAnsi="Times New Roman" w:cs="Times New Roman"/>
      <w:color w:val="000000"/>
      <w:sz w:val="18"/>
      <w:szCs w:val="18"/>
      <w:u w:val="none"/>
    </w:rPr>
  </w:style>
  <w:style w:type="character" w:customStyle="1" w:styleId="26">
    <w:name w:val="font11"/>
    <w:basedOn w:val="12"/>
    <w:qFormat/>
    <w:uiPriority w:val="0"/>
    <w:rPr>
      <w:rFonts w:hint="default" w:ascii="Times New Roman" w:hAnsi="Times New Roman" w:cs="Times New Roman"/>
      <w:color w:val="000000"/>
      <w:sz w:val="28"/>
      <w:szCs w:val="28"/>
      <w:u w:val="none"/>
    </w:rPr>
  </w:style>
  <w:style w:type="character" w:customStyle="1" w:styleId="27">
    <w:name w:val="font01"/>
    <w:basedOn w:val="12"/>
    <w:qFormat/>
    <w:uiPriority w:val="0"/>
    <w:rPr>
      <w:rFonts w:hint="eastAsia" w:ascii="宋体" w:hAnsi="宋体" w:eastAsia="宋体" w:cs="宋体"/>
      <w:color w:val="FF0000"/>
      <w:sz w:val="24"/>
      <w:szCs w:val="24"/>
      <w:u w:val="none"/>
    </w:rPr>
  </w:style>
  <w:style w:type="character" w:customStyle="1" w:styleId="28">
    <w:name w:val="font41"/>
    <w:basedOn w:val="12"/>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15</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2021-05-04T08:26:43Z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