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低氮增碳剂及石油焦增碳剂</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5</w:t>
      </w:r>
      <w:r>
        <w:rPr>
          <w:rFonts w:hint="eastAsia"/>
          <w:color w:val="000000"/>
          <w:sz w:val="24"/>
          <w:szCs w:val="24"/>
        </w:rPr>
        <w:t>月</w:t>
      </w:r>
      <w:r>
        <w:rPr>
          <w:rFonts w:hint="eastAsia"/>
          <w:color w:val="000000"/>
          <w:sz w:val="24"/>
          <w:szCs w:val="24"/>
          <w:u w:val="single"/>
          <w:lang w:val="en-US" w:eastAsia="zh-CN"/>
        </w:rPr>
        <w:t>7</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WHXX</w:t>
      </w:r>
      <w:r>
        <w:rPr>
          <w:rFonts w:hint="eastAsia" w:ascii="宋体" w:hAnsi="宋体"/>
          <w:u w:val="single"/>
          <w:lang w:val="en-US" w:eastAsia="zh-CN"/>
        </w:rPr>
        <w:t>202105006DDJSYJZTJ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低氮增碳剂及石油焦增碳剂</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汪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15955320531</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5</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13</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5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17日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14:00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 xml:space="preserve">5 </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13</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bookmarkStart w:id="0" w:name="_GoBack"/>
      <w:bookmarkEnd w:id="0"/>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sz w:val="24"/>
          <w:szCs w:val="24"/>
          <w:lang w:val="en-US" w:eastAsia="zh-CN"/>
        </w:rPr>
      </w:pPr>
      <w:r>
        <w:rPr>
          <w:rFonts w:hint="eastAsia" w:ascii="宋体" w:hAnsi="宋体"/>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满足</w:t>
      </w:r>
      <w:r>
        <w:rPr>
          <w:rFonts w:hint="eastAsia" w:ascii="宋体" w:hAnsi="宋体"/>
          <w:b/>
          <w:color w:val="FF0000"/>
          <w:sz w:val="24"/>
          <w:szCs w:val="24"/>
        </w:rPr>
        <w:t>业主单位生产使用要求</w:t>
      </w:r>
      <w:r>
        <w:rPr>
          <w:rFonts w:hint="eastAsia" w:ascii="宋体" w:hAnsi="宋体"/>
          <w:b/>
          <w:color w:val="FF0000"/>
          <w:sz w:val="24"/>
          <w:szCs w:val="24"/>
          <w:lang w:val="en-US" w:eastAsia="zh-CN"/>
        </w:rPr>
        <w:t>及附件技术要求</w:t>
      </w:r>
      <w:r>
        <w:rPr>
          <w:rFonts w:hint="eastAsia" w:ascii="宋体" w:hAnsi="宋体"/>
          <w:b/>
          <w:color w:val="FF0000"/>
          <w:sz w:val="24"/>
          <w:szCs w:val="24"/>
        </w:rPr>
        <w:t>。</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lang w:val="en-US" w:eastAsia="zh-CN"/>
        </w:rPr>
        <w:t>本次招标分两个标段：（1）、低氮增碳剂400吨；（2）、石油焦增碳剂1000吨；</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本次招标招</w:t>
      </w:r>
      <w:r>
        <w:rPr>
          <w:rFonts w:hint="eastAsia" w:ascii="宋体" w:hAnsi="宋体"/>
          <w:b/>
          <w:color w:val="FF0000"/>
          <w:sz w:val="24"/>
          <w:szCs w:val="24"/>
          <w:lang w:val="en-US" w:eastAsia="zh-CN"/>
        </w:rPr>
        <w:t>三</w:t>
      </w:r>
      <w:r>
        <w:rPr>
          <w:rFonts w:hint="eastAsia" w:ascii="宋体" w:hAnsi="宋体"/>
          <w:b/>
          <w:color w:val="FF0000"/>
          <w:sz w:val="24"/>
          <w:szCs w:val="24"/>
        </w:rPr>
        <w:t>个月的供货量为：</w:t>
      </w:r>
      <w:r>
        <w:rPr>
          <w:rFonts w:hint="eastAsia" w:ascii="宋体" w:hAnsi="宋体"/>
          <w:b/>
          <w:color w:val="FF0000"/>
          <w:sz w:val="24"/>
          <w:szCs w:val="24"/>
          <w:lang w:val="en-US" w:eastAsia="zh-CN"/>
        </w:rPr>
        <w:t>低氮增碳剂400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石油焦增碳剂1000吨</w:t>
      </w:r>
      <w:r>
        <w:rPr>
          <w:rFonts w:hint="eastAsia" w:ascii="宋体" w:hAnsi="宋体"/>
          <w:b/>
          <w:color w:val="FF0000"/>
          <w:sz w:val="24"/>
          <w:szCs w:val="24"/>
        </w:rPr>
        <w:t>（</w:t>
      </w:r>
      <w:r>
        <w:rPr>
          <w:rFonts w:hint="eastAsia" w:ascii="宋体" w:hAnsi="宋体"/>
          <w:b/>
          <w:color w:val="FF0000"/>
          <w:sz w:val="24"/>
          <w:szCs w:val="24"/>
          <w:lang w:val="en-US" w:eastAsia="zh-CN"/>
        </w:rPr>
        <w:t>以上</w:t>
      </w:r>
      <w:r>
        <w:rPr>
          <w:rFonts w:hint="eastAsia" w:ascii="宋体" w:hAnsi="宋体"/>
          <w:b/>
          <w:color w:val="FF0000"/>
          <w:sz w:val="24"/>
          <w:szCs w:val="24"/>
        </w:rPr>
        <w:t>数量为</w:t>
      </w:r>
      <w:r>
        <w:rPr>
          <w:rFonts w:hint="eastAsia" w:ascii="宋体" w:hAnsi="宋体"/>
          <w:b/>
          <w:color w:val="FF0000"/>
          <w:sz w:val="24"/>
          <w:szCs w:val="24"/>
          <w:lang w:val="en-US" w:eastAsia="zh-CN"/>
        </w:rPr>
        <w:t>三</w:t>
      </w:r>
      <w:r>
        <w:rPr>
          <w:rFonts w:hint="eastAsia" w:ascii="宋体" w:hAnsi="宋体"/>
          <w:b/>
          <w:color w:val="FF0000"/>
          <w:sz w:val="24"/>
          <w:szCs w:val="24"/>
        </w:rPr>
        <w:t>个月的理论需求数量，具体供货数量以生产单位实际用量为准，具体供货时间以商务部门通知为准）。</w:t>
      </w:r>
    </w:p>
    <w:p>
      <w:pPr>
        <w:numPr>
          <w:ilvl w:val="0"/>
          <w:numId w:val="8"/>
        </w:numPr>
        <w:spacing w:line="360" w:lineRule="auto"/>
        <w:ind w:firstLine="482" w:firstLineChars="200"/>
        <w:rPr>
          <w:rFonts w:hint="eastAsia" w:ascii="宋体" w:hAnsi="宋体"/>
          <w:b/>
          <w:color w:val="FF0000"/>
          <w:sz w:val="24"/>
          <w:szCs w:val="24"/>
        </w:rPr>
      </w:pPr>
      <w:r>
        <w:rPr>
          <w:rFonts w:hint="eastAsia" w:ascii="宋体" w:hAnsi="宋体"/>
          <w:b/>
          <w:color w:val="FF0000"/>
          <w:sz w:val="24"/>
          <w:szCs w:val="24"/>
        </w:rPr>
        <w:t>本次招标项目最高投标限价</w:t>
      </w:r>
      <w:r>
        <w:rPr>
          <w:rFonts w:hint="eastAsia" w:ascii="宋体" w:hAnsi="宋体"/>
          <w:b/>
          <w:color w:val="FF0000"/>
          <w:sz w:val="24"/>
          <w:szCs w:val="24"/>
          <w:lang w:eastAsia="zh-CN"/>
        </w:rPr>
        <w:t>（</w:t>
      </w:r>
      <w:r>
        <w:rPr>
          <w:rFonts w:hint="eastAsia" w:ascii="宋体" w:hAnsi="宋体"/>
          <w:b/>
          <w:color w:val="FF0000"/>
          <w:sz w:val="24"/>
          <w:szCs w:val="24"/>
          <w:lang w:val="en-US" w:eastAsia="zh-CN"/>
        </w:rPr>
        <w:t>含税</w:t>
      </w:r>
      <w:r>
        <w:rPr>
          <w:rFonts w:hint="eastAsia" w:ascii="宋体" w:hAnsi="宋体"/>
          <w:b/>
          <w:color w:val="FF0000"/>
          <w:sz w:val="24"/>
          <w:szCs w:val="24"/>
          <w:lang w:eastAsia="zh-CN"/>
        </w:rPr>
        <w:t>）</w:t>
      </w:r>
      <w:r>
        <w:rPr>
          <w:rFonts w:hint="eastAsia" w:ascii="宋体" w:hAnsi="宋体"/>
          <w:b/>
          <w:color w:val="FF0000"/>
          <w:sz w:val="24"/>
          <w:szCs w:val="24"/>
        </w:rPr>
        <w:t>为：</w:t>
      </w:r>
    </w:p>
    <w:p>
      <w:pPr>
        <w:numPr>
          <w:ilvl w:val="0"/>
          <w:numId w:val="9"/>
        </w:numPr>
        <w:spacing w:line="360" w:lineRule="auto"/>
        <w:ind w:firstLine="1446" w:firstLineChars="600"/>
        <w:rPr>
          <w:rFonts w:hint="eastAsia" w:ascii="宋体" w:hAnsi="宋体"/>
          <w:b/>
          <w:color w:val="FF0000"/>
          <w:sz w:val="24"/>
          <w:szCs w:val="24"/>
          <w:lang w:eastAsia="zh-CN"/>
        </w:rPr>
      </w:pPr>
      <w:r>
        <w:rPr>
          <w:rFonts w:hint="eastAsia" w:ascii="宋体" w:hAnsi="宋体"/>
          <w:b/>
          <w:color w:val="FF0000"/>
          <w:sz w:val="24"/>
          <w:szCs w:val="24"/>
          <w:lang w:eastAsia="zh-CN"/>
        </w:rPr>
        <w:t>、</w:t>
      </w:r>
      <w:r>
        <w:rPr>
          <w:rFonts w:hint="eastAsia" w:ascii="宋体" w:hAnsi="宋体"/>
          <w:b/>
          <w:color w:val="FF0000"/>
          <w:sz w:val="24"/>
          <w:szCs w:val="24"/>
          <w:lang w:val="en-US" w:eastAsia="zh-CN"/>
        </w:rPr>
        <w:t>低氮增碳剂6000元/吨</w:t>
      </w:r>
      <w:r>
        <w:rPr>
          <w:rFonts w:hint="eastAsia" w:ascii="宋体" w:hAnsi="宋体"/>
          <w:b/>
          <w:color w:val="FF0000"/>
          <w:sz w:val="24"/>
          <w:szCs w:val="24"/>
          <w:lang w:eastAsia="zh-CN"/>
        </w:rPr>
        <w:t>（</w:t>
      </w:r>
      <w:r>
        <w:rPr>
          <w:rFonts w:hint="eastAsia" w:ascii="宋体" w:hAnsi="宋体"/>
          <w:b/>
          <w:color w:val="FF0000"/>
          <w:sz w:val="24"/>
          <w:szCs w:val="24"/>
          <w:lang w:val="en-US" w:eastAsia="zh-CN"/>
        </w:rPr>
        <w:t>大写：陆仟元每吨</w:t>
      </w:r>
      <w:r>
        <w:rPr>
          <w:rFonts w:hint="eastAsia" w:ascii="宋体" w:hAnsi="宋体"/>
          <w:b/>
          <w:color w:val="FF0000"/>
          <w:sz w:val="24"/>
          <w:szCs w:val="24"/>
          <w:lang w:eastAsia="zh-CN"/>
        </w:rPr>
        <w:t>）；</w:t>
      </w:r>
    </w:p>
    <w:p>
      <w:pPr>
        <w:numPr>
          <w:ilvl w:val="0"/>
          <w:numId w:val="9"/>
        </w:numPr>
        <w:spacing w:line="360" w:lineRule="auto"/>
        <w:ind w:firstLine="1446" w:firstLineChars="600"/>
        <w:rPr>
          <w:rFonts w:hint="eastAsia" w:ascii="宋体" w:hAnsi="宋体"/>
          <w:b/>
          <w:color w:val="FF0000"/>
          <w:sz w:val="24"/>
          <w:szCs w:val="24"/>
        </w:rPr>
      </w:pPr>
      <w:r>
        <w:rPr>
          <w:rFonts w:hint="eastAsia" w:ascii="宋体" w:hAnsi="宋体"/>
          <w:b/>
          <w:color w:val="FF0000"/>
          <w:sz w:val="24"/>
          <w:szCs w:val="24"/>
          <w:lang w:eastAsia="zh-CN"/>
        </w:rPr>
        <w:t>、</w:t>
      </w:r>
      <w:r>
        <w:rPr>
          <w:rFonts w:hint="eastAsia" w:ascii="宋体" w:hAnsi="宋体"/>
          <w:b/>
          <w:color w:val="FF0000"/>
          <w:sz w:val="24"/>
          <w:szCs w:val="24"/>
          <w:lang w:val="en-US" w:eastAsia="zh-CN"/>
        </w:rPr>
        <w:t>石油焦增碳剂5500元/吨（大写：伍仟伍佰元每吨）</w:t>
      </w:r>
    </w:p>
    <w:p>
      <w:pPr>
        <w:numPr>
          <w:ilvl w:val="0"/>
          <w:numId w:val="0"/>
        </w:numPr>
        <w:spacing w:line="360" w:lineRule="auto"/>
        <w:ind w:firstLine="964" w:firstLineChars="400"/>
        <w:rPr>
          <w:rFonts w:hint="eastAsia" w:ascii="宋体" w:hAnsi="宋体"/>
          <w:b/>
          <w:color w:val="FF0000"/>
          <w:sz w:val="24"/>
          <w:szCs w:val="24"/>
        </w:rPr>
      </w:pPr>
      <w:r>
        <w:rPr>
          <w:rFonts w:hint="eastAsia" w:ascii="宋体" w:hAnsi="宋体"/>
          <w:b/>
          <w:color w:val="FF0000"/>
          <w:sz w:val="24"/>
          <w:szCs w:val="24"/>
        </w:rPr>
        <w:t>报价高于此最高投标限价的作废标处理。</w:t>
      </w: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numPr>
          <w:ilvl w:val="0"/>
          <w:numId w:val="0"/>
        </w:numPr>
        <w:spacing w:line="360" w:lineRule="auto"/>
        <w:ind w:firstLine="964" w:firstLineChars="400"/>
        <w:rPr>
          <w:rFonts w:hint="eastAsia" w:ascii="宋体" w:hAnsi="宋体"/>
          <w:b/>
          <w:color w:val="FF0000"/>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5</w:t>
      </w:r>
      <w:r>
        <w:rPr>
          <w:rFonts w:ascii="宋体" w:hAnsi="宋体"/>
          <w:sz w:val="24"/>
          <w:szCs w:val="24"/>
        </w:rPr>
        <w:t>月</w:t>
      </w:r>
      <w:r>
        <w:rPr>
          <w:rFonts w:hint="eastAsia" w:ascii="宋体" w:hAnsi="宋体"/>
          <w:sz w:val="24"/>
          <w:szCs w:val="24"/>
          <w:lang w:val="en-US" w:eastAsia="zh-CN"/>
        </w:rPr>
        <w:t>7</w:t>
      </w:r>
      <w:r>
        <w:rPr>
          <w:rFonts w:hint="eastAsia" w:ascii="宋体" w:hAnsi="宋体"/>
          <w:sz w:val="24"/>
          <w:szCs w:val="24"/>
        </w:rPr>
        <w:t>日</w:t>
      </w:r>
      <w:r>
        <w:rPr>
          <w:b/>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-32385</wp:posOffset>
                </wp:positionV>
                <wp:extent cx="1028700" cy="891540"/>
                <wp:effectExtent l="0" t="0" r="0" b="3810"/>
                <wp:wrapNone/>
                <wp:docPr id="3" name="文本框 2"/>
                <wp:cNvGraphicFramePr/>
                <a:graphic xmlns:a="http://schemas.openxmlformats.org/drawingml/2006/main">
                  <a:graphicData uri="http://schemas.microsoft.com/office/word/2010/wordprocessingShape">
                    <wps:wsp>
                      <wps:cNvSpPr txBox="1"/>
                      <wps:spPr>
                        <a:xfrm>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0pt;margin-top:-2.55pt;height:70.2pt;width:81pt;z-index:251661312;mso-width-relative:page;mso-height-relative:page;" fillcolor="#FFFFFF" filled="t" stroked="f" coordsize="21600,21600" o:gfxdata="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C3wZLWAAAABwEAAA8AAAAAAAAAAQAgAAAAIgAAAGRycy9kb3ducmV2Lnht&#10;bFBLAQIUABQAAAAIAIdO4kBTPubuwgEAAHcDAAAOAAAAAAAAAAEAIAAAACUBAABkcnMvZTJvRG9j&#10;LnhtbFBLBQYAAAAABgAGAFkBAABZBQAAAAA=&#10;">
                <v:fill on="t" focussize="0,0"/>
                <v:stroke on="f"/>
                <v:imagedata o:title=""/>
                <o:lock v:ext="edit" aspectratio="f"/>
                <v:textbox>
                  <w:txbxContent>
                    <w:p/>
                  </w:txbxContent>
                </v:textbox>
              </v:shape>
            </w:pict>
          </mc:Fallback>
        </mc:AlternateContent>
      </w:r>
    </w:p>
    <w:p>
      <w:pPr>
        <w:jc w:val="center"/>
        <w:rPr>
          <w:rFonts w:hint="eastAsia"/>
          <w:b/>
          <w:color w:val="auto"/>
          <w:sz w:val="36"/>
          <w:szCs w:val="36"/>
          <w:u w:val="none" w:color="auto"/>
          <w:lang w:eastAsia="zh-CN"/>
        </w:rPr>
      </w:pPr>
      <w:r>
        <w:rPr>
          <w:rFonts w:hint="eastAsia"/>
          <w:b/>
          <w:color w:val="auto"/>
          <w:sz w:val="36"/>
          <w:szCs w:val="36"/>
          <w:u w:val="none" w:color="auto"/>
        </w:rPr>
        <w:t>低氮增碳剂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keepNext w:val="0"/>
        <w:keepLines w:val="0"/>
        <w:pageBreakBefore w:val="0"/>
        <w:widowControl w:val="0"/>
        <w:numPr>
          <w:ilvl w:val="0"/>
          <w:numId w:val="10"/>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本标准规定了炼钢低氮增碳剂的采购标准、让步接受条件、不合格处理及送货要求。</w:t>
      </w:r>
    </w:p>
    <w:p>
      <w:pPr>
        <w:keepNext w:val="0"/>
        <w:keepLines w:val="0"/>
        <w:pageBreakBefore w:val="0"/>
        <w:widowControl w:val="0"/>
        <w:numPr>
          <w:ilvl w:val="0"/>
          <w:numId w:val="11"/>
        </w:numPr>
        <w:kinsoku/>
        <w:wordWrap/>
        <w:overflowPunct/>
        <w:topLinePunct w:val="0"/>
        <w:autoSpaceDE/>
        <w:autoSpaceDN/>
        <w:bidi w:val="0"/>
        <w:adjustRightInd w:val="0"/>
        <w:snapToGrid/>
        <w:spacing w:before="0" w:beforeLines="0" w:after="0" w:afterLines="0" w:line="240" w:lineRule="auto"/>
        <w:ind w:left="0" w:leftChars="0" w:right="0" w:rightChars="0" w:firstLine="0" w:firstLine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FC%；St.d%；H2O%；N%；粒度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FC≥98%；St.d≤0.05%；H2O≤0.5%；N≤300ppm；粒度：1～5mm；小于1mm的比例≤5%；大于5mm的比例≤1%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FC≥96%；St.d≤0.15%；H2O≤0.7%；N≤400ppm；小于1mm的比例≤7%；大于5mm的比例≤2%</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2.4不合格处理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1、FC超出标准在让步接收范围内，97%≤C＜98%间，每下降0.1%，合同价格降0.5%;96%≤C＜97%间，每下降0.1%，合同价格降1%；超出让步范围原则上退货或改判为普通增碳剂结算。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2、St.d超出标准在让步范围内，每上升0.01%，合同价格降0.5%；超出让步退货或改判普通增碳剂结算。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3、0.5%＜H2O≤0.7%，每增加0.1%，合同价格降2%，H2O＞0.7%，作退货处理。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4、N超出标准在让步范围内，300ppm&lt;[N]≤400ppm，每上升1ppm，合同价格降0.1%，超出400ppm（0.04%），按拒收或普通增碳剂结算。</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5、粒度超出标准在让步范围内，按超出部分扣吨。超出让步退货或按超出吨位双倍扣吨</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2" w:firstLineChars="20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3.其他要求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3.1</w:t>
      </w:r>
      <w:r>
        <w:rPr>
          <w:rFonts w:hint="default"/>
          <w:b w:val="0"/>
          <w:bCs/>
          <w:color w:val="auto"/>
          <w:sz w:val="24"/>
          <w:szCs w:val="24"/>
          <w:u w:val="none" w:color="auto"/>
          <w:lang w:val="en-US" w:eastAsia="zh-CN"/>
        </w:rPr>
        <w:t>包装要求：</w:t>
      </w:r>
      <w:r>
        <w:rPr>
          <w:rFonts w:hint="eastAsia"/>
          <w:b w:val="0"/>
          <w:bCs/>
          <w:color w:val="auto"/>
          <w:sz w:val="24"/>
          <w:szCs w:val="24"/>
          <w:u w:val="none" w:color="auto"/>
          <w:lang w:val="en-US" w:eastAsia="zh-CN"/>
        </w:rPr>
        <w:t>内小袋重量</w:t>
      </w:r>
      <w:r>
        <w:rPr>
          <w:rFonts w:hint="default"/>
          <w:b w:val="0"/>
          <w:bCs/>
          <w:color w:val="auto"/>
          <w:sz w:val="24"/>
          <w:szCs w:val="24"/>
          <w:u w:val="none" w:color="auto"/>
          <w:lang w:val="en-US" w:eastAsia="zh-CN"/>
        </w:rPr>
        <w:t>15±0.2KG。四层包装，</w:t>
      </w:r>
      <w:r>
        <w:rPr>
          <w:rFonts w:hint="eastAsia"/>
          <w:b w:val="0"/>
          <w:bCs/>
          <w:color w:val="auto"/>
          <w:sz w:val="24"/>
          <w:szCs w:val="24"/>
          <w:u w:val="none" w:color="auto"/>
          <w:lang w:val="en-US" w:eastAsia="zh-CN"/>
        </w:rPr>
        <w:t>做好防潮措施，吨袋包装外层和小袋包装外层为编织袋，吨袋包装内层和小袋包装内层为厚塑料袋。塑料袋具有一定强度，保证质量，不易刺破，起到防潮效果，吨袋内膜要求扎口。吨袋</w:t>
      </w:r>
      <w:r>
        <w:rPr>
          <w:rFonts w:hint="default"/>
          <w:b w:val="0"/>
          <w:bCs/>
          <w:color w:val="auto"/>
          <w:sz w:val="24"/>
          <w:szCs w:val="24"/>
          <w:u w:val="none" w:color="auto"/>
          <w:lang w:val="en-US" w:eastAsia="zh-CN"/>
        </w:rPr>
        <w:t>包装袋上必须注明物资名称、生产厂家、包装重量</w:t>
      </w:r>
      <w:r>
        <w:rPr>
          <w:rFonts w:hint="eastAsia"/>
          <w:b w:val="0"/>
          <w:bCs/>
          <w:color w:val="auto"/>
          <w:sz w:val="24"/>
          <w:szCs w:val="24"/>
          <w:u w:val="none" w:color="auto"/>
          <w:lang w:val="en-US" w:eastAsia="zh-CN"/>
        </w:rPr>
        <w:t>、生产日期</w:t>
      </w:r>
      <w:r>
        <w:rPr>
          <w:rFonts w:hint="default"/>
          <w:b w:val="0"/>
          <w:bCs/>
          <w:color w:val="auto"/>
          <w:sz w:val="24"/>
          <w:szCs w:val="24"/>
          <w:u w:val="none" w:color="auto"/>
          <w:lang w:val="en-US" w:eastAsia="zh-CN"/>
        </w:rPr>
        <w:t>等信息</w:t>
      </w:r>
      <w:r>
        <w:rPr>
          <w:rFonts w:hint="eastAsia"/>
          <w:b w:val="0"/>
          <w:bCs/>
          <w:color w:val="auto"/>
          <w:sz w:val="24"/>
          <w:szCs w:val="24"/>
          <w:u w:val="none" w:color="auto"/>
          <w:lang w:val="en-US" w:eastAsia="zh-CN"/>
        </w:rPr>
        <w:t>，小包装袋上必须注明物资名称、重量等信息。</w:t>
      </w:r>
      <w:r>
        <w:rPr>
          <w:rFonts w:hint="default"/>
          <w:b w:val="0"/>
          <w:bCs/>
          <w:color w:val="auto"/>
          <w:sz w:val="24"/>
          <w:szCs w:val="24"/>
          <w:u w:val="none" w:color="auto"/>
          <w:lang w:val="en-US" w:eastAsia="zh-CN"/>
        </w:rPr>
        <w:t>如包装重量发生变化，提前通知供货厂家并进行调整。大袋包装重量为</w:t>
      </w:r>
      <w:r>
        <w:rPr>
          <w:rFonts w:hint="eastAsia"/>
          <w:b w:val="0"/>
          <w:bCs/>
          <w:color w:val="auto"/>
          <w:sz w:val="24"/>
          <w:szCs w:val="24"/>
          <w:u w:val="none" w:color="auto"/>
          <w:lang w:val="en-US" w:eastAsia="zh-CN"/>
        </w:rPr>
        <w:t>60</w:t>
      </w:r>
      <w:r>
        <w:rPr>
          <w:rFonts w:hint="default"/>
          <w:b w:val="0"/>
          <w:bCs/>
          <w:color w:val="auto"/>
          <w:sz w:val="24"/>
          <w:szCs w:val="24"/>
          <w:u w:val="none" w:color="auto"/>
          <w:lang w:val="en-US" w:eastAsia="zh-CN"/>
        </w:rPr>
        <w:t>0公斤包装。</w:t>
      </w:r>
      <w:r>
        <w:rPr>
          <w:rFonts w:hint="eastAsia"/>
          <w:b w:val="0"/>
          <w:bCs/>
          <w:color w:val="auto"/>
          <w:sz w:val="24"/>
          <w:szCs w:val="24"/>
          <w:u w:val="none" w:color="auto"/>
          <w:lang w:val="en-US" w:eastAsia="zh-CN"/>
        </w:rPr>
        <w:t>包装袋供方不回收。包装不符合要求的按200元/袋落实考核。</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ascii="Times New Roman" w:hAnsi="Times New Roman" w:cs="Times New Roman"/>
          <w:b w:val="0"/>
          <w:bCs/>
          <w:color w:val="auto"/>
          <w:sz w:val="24"/>
          <w:szCs w:val="24"/>
          <w:u w:val="none" w:color="auto"/>
        </w:rPr>
      </w:pPr>
      <w:r>
        <w:rPr>
          <w:rFonts w:hint="eastAsia"/>
          <w:b w:val="0"/>
          <w:bCs/>
          <w:color w:val="auto"/>
          <w:sz w:val="24"/>
          <w:szCs w:val="24"/>
          <w:u w:val="none" w:color="auto"/>
          <w:lang w:val="en-US" w:eastAsia="zh-CN"/>
        </w:rPr>
        <w:t>3.2</w:t>
      </w:r>
      <w:r>
        <w:rPr>
          <w:rFonts w:hint="default" w:ascii="Times New Roman" w:hAnsi="Times New Roman" w:cs="Times New Roman"/>
          <w:b w:val="0"/>
          <w:bCs/>
          <w:color w:val="auto"/>
          <w:sz w:val="24"/>
          <w:szCs w:val="24"/>
          <w:u w:val="none" w:color="auto"/>
        </w:rPr>
        <w:t>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val="0"/>
          <w:bCs/>
          <w:color w:val="auto"/>
          <w:sz w:val="24"/>
          <w:szCs w:val="24"/>
          <w:u w:val="none" w:color="auto"/>
          <w:lang w:val="en-US" w:eastAsia="zh-CN"/>
        </w:rPr>
      </w:pPr>
      <w:r>
        <w:rPr>
          <w:rFonts w:hint="eastAsia"/>
          <w:b/>
          <w:bCs w:val="0"/>
          <w:color w:val="auto"/>
          <w:sz w:val="24"/>
          <w:szCs w:val="24"/>
          <w:u w:val="none" w:color="auto"/>
          <w:lang w:val="en-US" w:eastAsia="zh-CN"/>
        </w:rPr>
        <w:t>4.送货要求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进厂卸货服从我方管理。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5.卸货地点</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低氮增碳剂卸至炼钢部库房。</w:t>
      </w:r>
    </w:p>
    <w:p>
      <w:pPr>
        <w:jc w:val="both"/>
        <w:rPr>
          <w:rFonts w:hint="eastAsia"/>
          <w:b w:val="0"/>
          <w:bCs/>
          <w:color w:val="auto"/>
          <w:sz w:val="28"/>
          <w:szCs w:val="28"/>
          <w:u w:val="none" w:color="auto"/>
          <w:lang w:val="en-US" w:eastAsia="zh-CN"/>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jc w:val="center"/>
        <w:rPr>
          <w:rFonts w:hint="eastAsia"/>
          <w:b/>
          <w:color w:val="auto"/>
          <w:sz w:val="36"/>
          <w:szCs w:val="36"/>
          <w:u w:val="none" w:color="auto"/>
          <w:lang w:eastAsia="zh-CN"/>
        </w:rPr>
      </w:pPr>
      <w:r>
        <w:rPr>
          <w:rFonts w:hint="eastAsia"/>
          <w:b/>
          <w:color w:val="auto"/>
          <w:sz w:val="36"/>
          <w:szCs w:val="36"/>
          <w:u w:val="none" w:color="auto"/>
          <w:lang w:val="en-US" w:eastAsia="zh-CN"/>
        </w:rPr>
        <w:t>石油焦</w:t>
      </w:r>
      <w:r>
        <w:rPr>
          <w:rFonts w:hint="eastAsia"/>
          <w:b/>
          <w:color w:val="auto"/>
          <w:sz w:val="36"/>
          <w:szCs w:val="36"/>
          <w:u w:val="none" w:color="auto"/>
        </w:rPr>
        <w:t>增碳剂</w:t>
      </w:r>
      <w:r>
        <w:rPr>
          <w:rFonts w:hint="eastAsia"/>
          <w:b/>
          <w:color w:val="auto"/>
          <w:sz w:val="36"/>
          <w:szCs w:val="36"/>
          <w:u w:val="none" w:color="auto"/>
          <w:lang w:val="en-US" w:eastAsia="zh-CN"/>
        </w:rPr>
        <w:t>质</w:t>
      </w:r>
      <w:r>
        <w:rPr>
          <w:rFonts w:hint="eastAsia"/>
          <w:b/>
          <w:color w:val="auto"/>
          <w:sz w:val="36"/>
          <w:szCs w:val="36"/>
          <w:u w:val="none" w:color="auto"/>
          <w:lang w:eastAsia="zh-CN"/>
        </w:rPr>
        <w:t>量标准技术统一平台</w:t>
      </w:r>
    </w:p>
    <w:p>
      <w:pPr>
        <w:jc w:val="center"/>
        <w:rPr>
          <w:rFonts w:hint="eastAsia"/>
          <w:b/>
          <w:bCs w:val="0"/>
          <w:color w:val="auto"/>
          <w:sz w:val="24"/>
          <w:szCs w:val="24"/>
          <w:u w:val="none" w:color="auto"/>
          <w:lang w:val="en-US" w:eastAsia="zh-CN"/>
        </w:rPr>
      </w:pPr>
    </w:p>
    <w:p>
      <w:pPr>
        <w:jc w:val="left"/>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 xml:space="preserve">    1、技术要求</w:t>
      </w:r>
    </w:p>
    <w:p>
      <w:pPr>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 xml:space="preserve">      1、质量标准：FC≥98%；St.d≤0.5%；水分≤0.5%；粒度：0.5-7mm；小于0.5mm的             比例≤10%，大于7mm的比例≤5%。让步接收标准：FC≥96%；St.d≤0.6%；H 2 O%≤0.7%；粒度：小于 0.5mm的比例≤15%；大于 7mm 的比例≤10%。</w:t>
      </w:r>
    </w:p>
    <w:p>
      <w:pPr>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 xml:space="preserve">      2、质量考核</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①1、FC：97%≤C＜98%每下降 0.1%，合同价格降 0.5%;96%≤C＜97%间，每下降 0.1%，合同价格降 1%；超出让步范围原则上退货。</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②、St.d 超出标准在让步接收范围内，每上升 0.01%,合同价格降 0.05%；超出让步范围原则上退货。</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③、0.5%＜H 2 O≤0.7%，每增加 0.1%，合同价格降 2%，H2O＞0.7%，作退货处理，如无法退货按超出让步范围在原处罚基础上双倍扣罚。</w:t>
      </w:r>
    </w:p>
    <w:p>
      <w:pPr>
        <w:ind w:firstLine="720" w:firstLineChars="300"/>
        <w:jc w:val="left"/>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④、粒度超出标准在让步接收范围内，超出部分扣吨位结算；超出让步范围原则上退货或在原处罚基础上双倍扣罚。</w:t>
      </w:r>
    </w:p>
    <w:p>
      <w:pPr>
        <w:ind w:firstLine="723" w:firstLineChars="300"/>
        <w:jc w:val="left"/>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2、包装要求：</w:t>
      </w:r>
    </w:p>
    <w:p>
      <w:pPr>
        <w:ind w:firstLine="480"/>
        <w:jc w:val="center"/>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吨袋包装：内小袋重量15±0.2KG。四层包装，做好防潮措施，吨袋包装外层和小袋包装外层为编织袋，吨袋包装内层和小袋包装内层为塑料袋。塑料袋具有一定强度，保证质量，不易刺破，起到防潮效果。吨袋包装袋上必须注明物资名称、生产厂家、包装重量等信息，小包装袋上必须注明物资名称、重量等信息。如包装重量发生变化，提前通知供货厂家并进行调整。大袋包装重量为1000公斤包装。包装袋供方不回收。包装吨袋质量必须保证，如果因为吨袋质量问题导致在卸货过程中出现漏料、撒料的情况，全部责任由供方承担。</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widowControl w:val="0"/>
        <w:spacing w:line="240" w:lineRule="atLeast"/>
        <w:jc w:val="both"/>
        <w:rPr>
          <w:rFonts w:hint="eastAsia" w:ascii="宋体" w:hAnsi="宋体"/>
          <w:color w:val="000000"/>
          <w:sz w:val="28"/>
          <w:szCs w:val="28"/>
        </w:rPr>
      </w:pPr>
    </w:p>
    <w:p>
      <w:pPr>
        <w:rPr>
          <w:rFonts w:hint="eastAsia" w:ascii="宋体" w:hAnsi="宋体"/>
          <w:color w:val="000000"/>
          <w:sz w:val="28"/>
          <w:szCs w:val="28"/>
        </w:rPr>
      </w:pPr>
      <w:r>
        <w:rPr>
          <w:rFonts w:hint="eastAsia" w:ascii="宋体" w:hAnsi="宋体"/>
          <w:color w:val="000000"/>
          <w:sz w:val="28"/>
          <w:szCs w:val="28"/>
        </w:rPr>
        <w:br w:type="page"/>
      </w:r>
    </w:p>
    <w:p>
      <w:pPr>
        <w:pStyle w:val="21"/>
        <w:snapToGrid w:val="0"/>
        <w:spacing w:line="480" w:lineRule="auto"/>
        <w:rPr>
          <w:rFonts w:hint="eastAsia"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12"/>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低氮增碳剂及石油焦增碳剂</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440"/>
        <w:gridCol w:w="1211"/>
        <w:gridCol w:w="4107"/>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75" w:type="pct"/>
            <w:vAlign w:val="center"/>
          </w:tcPr>
          <w:p>
            <w:pPr>
              <w:jc w:val="center"/>
              <w:rPr>
                <w:sz w:val="18"/>
                <w:szCs w:val="18"/>
              </w:rPr>
            </w:pPr>
            <w:r>
              <w:rPr>
                <w:rFonts w:hint="eastAsia"/>
                <w:sz w:val="18"/>
                <w:szCs w:val="18"/>
              </w:rPr>
              <w:t>序号</w:t>
            </w:r>
          </w:p>
        </w:tc>
        <w:tc>
          <w:tcPr>
            <w:tcW w:w="781" w:type="pct"/>
            <w:vAlign w:val="center"/>
          </w:tcPr>
          <w:p>
            <w:pPr>
              <w:jc w:val="center"/>
              <w:rPr>
                <w:sz w:val="18"/>
                <w:szCs w:val="18"/>
              </w:rPr>
            </w:pPr>
            <w:r>
              <w:rPr>
                <w:rFonts w:hint="eastAsia"/>
                <w:sz w:val="18"/>
                <w:szCs w:val="18"/>
              </w:rPr>
              <w:t>物资名称</w:t>
            </w:r>
          </w:p>
        </w:tc>
        <w:tc>
          <w:tcPr>
            <w:tcW w:w="657" w:type="pct"/>
            <w:vAlign w:val="center"/>
          </w:tcPr>
          <w:p>
            <w:pPr>
              <w:jc w:val="center"/>
              <w:rPr>
                <w:sz w:val="18"/>
                <w:szCs w:val="18"/>
              </w:rPr>
            </w:pPr>
            <w:r>
              <w:rPr>
                <w:rFonts w:hint="eastAsia"/>
                <w:sz w:val="18"/>
                <w:szCs w:val="18"/>
                <w:lang w:val="en-US" w:eastAsia="zh-CN"/>
              </w:rPr>
              <w:t>三</w:t>
            </w:r>
            <w:r>
              <w:rPr>
                <w:rFonts w:hint="eastAsia"/>
                <w:sz w:val="18"/>
                <w:szCs w:val="18"/>
              </w:rPr>
              <w:t>个月理论要求数量</w:t>
            </w:r>
          </w:p>
        </w:tc>
        <w:tc>
          <w:tcPr>
            <w:tcW w:w="2228" w:type="pct"/>
            <w:vAlign w:val="center"/>
          </w:tcPr>
          <w:p>
            <w:pPr>
              <w:jc w:val="center"/>
              <w:rPr>
                <w:sz w:val="18"/>
                <w:szCs w:val="18"/>
              </w:rPr>
            </w:pPr>
            <w:r>
              <w:rPr>
                <w:rFonts w:hint="eastAsia"/>
                <w:sz w:val="18"/>
                <w:szCs w:val="18"/>
              </w:rPr>
              <w:t>含税、含运费报价（元/吨）</w:t>
            </w:r>
          </w:p>
        </w:tc>
        <w:tc>
          <w:tcPr>
            <w:tcW w:w="958" w:type="pct"/>
            <w:vAlign w:val="center"/>
          </w:tcPr>
          <w:p>
            <w:pPr>
              <w:jc w:val="center"/>
              <w:rPr>
                <w:sz w:val="18"/>
                <w:szCs w:val="18"/>
              </w:rPr>
            </w:pPr>
            <w:r>
              <w:rPr>
                <w:rFonts w:hint="eastAsia"/>
                <w:sz w:val="18"/>
                <w:szCs w:val="18"/>
              </w:rPr>
              <w:t>供应量（吨）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75" w:type="pct"/>
            <w:vMerge w:val="restart"/>
            <w:vAlign w:val="center"/>
          </w:tcPr>
          <w:p>
            <w:pPr>
              <w:jc w:val="center"/>
              <w:rPr>
                <w:sz w:val="24"/>
                <w:szCs w:val="24"/>
              </w:rPr>
            </w:pPr>
            <w:r>
              <w:rPr>
                <w:rFonts w:hint="eastAsia"/>
                <w:sz w:val="24"/>
                <w:szCs w:val="24"/>
              </w:rPr>
              <w:t>1</w:t>
            </w:r>
          </w:p>
        </w:tc>
        <w:tc>
          <w:tcPr>
            <w:tcW w:w="781"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低氮增碳剂</w:t>
            </w:r>
          </w:p>
        </w:tc>
        <w:tc>
          <w:tcPr>
            <w:tcW w:w="657" w:type="pct"/>
            <w:vMerge w:val="restart"/>
            <w:vAlign w:val="center"/>
          </w:tcPr>
          <w:p>
            <w:pPr>
              <w:jc w:val="center"/>
              <w:rPr>
                <w:sz w:val="24"/>
                <w:szCs w:val="24"/>
              </w:rPr>
            </w:pPr>
            <w:r>
              <w:rPr>
                <w:rFonts w:hint="eastAsia" w:ascii="宋体" w:hAnsi="宋体"/>
                <w:b/>
                <w:color w:val="FF0000"/>
                <w:sz w:val="24"/>
                <w:szCs w:val="24"/>
              </w:rPr>
              <w:t>约</w:t>
            </w:r>
            <w:r>
              <w:rPr>
                <w:rFonts w:hint="eastAsia" w:ascii="宋体" w:hAnsi="宋体"/>
                <w:b/>
                <w:color w:val="FF0000"/>
                <w:sz w:val="24"/>
                <w:szCs w:val="24"/>
                <w:lang w:val="en-US" w:eastAsia="zh-CN"/>
              </w:rPr>
              <w:t>400</w:t>
            </w:r>
            <w:r>
              <w:rPr>
                <w:rFonts w:hint="eastAsia" w:ascii="宋体" w:hAnsi="宋体"/>
                <w:b/>
                <w:color w:val="FF0000"/>
                <w:sz w:val="24"/>
                <w:szCs w:val="24"/>
              </w:rPr>
              <w:t>吨</w:t>
            </w:r>
          </w:p>
        </w:tc>
        <w:tc>
          <w:tcPr>
            <w:tcW w:w="2228"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958"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75" w:type="pct"/>
            <w:vMerge w:val="continue"/>
            <w:vAlign w:val="center"/>
          </w:tcPr>
          <w:p>
            <w:pPr>
              <w:jc w:val="center"/>
              <w:rPr>
                <w:sz w:val="24"/>
                <w:szCs w:val="24"/>
              </w:rPr>
            </w:pPr>
          </w:p>
        </w:tc>
        <w:tc>
          <w:tcPr>
            <w:tcW w:w="781" w:type="pct"/>
            <w:vMerge w:val="continue"/>
            <w:vAlign w:val="center"/>
          </w:tcPr>
          <w:p>
            <w:pPr>
              <w:jc w:val="center"/>
              <w:rPr>
                <w:rFonts w:ascii="宋体" w:hAnsi="宋体"/>
                <w:b/>
                <w:color w:val="000000"/>
                <w:sz w:val="24"/>
                <w:szCs w:val="24"/>
              </w:rPr>
            </w:pPr>
          </w:p>
        </w:tc>
        <w:tc>
          <w:tcPr>
            <w:tcW w:w="657" w:type="pct"/>
            <w:vMerge w:val="continue"/>
            <w:vAlign w:val="center"/>
          </w:tcPr>
          <w:p>
            <w:pPr>
              <w:jc w:val="center"/>
              <w:rPr>
                <w:sz w:val="24"/>
                <w:szCs w:val="24"/>
              </w:rPr>
            </w:pPr>
          </w:p>
        </w:tc>
        <w:tc>
          <w:tcPr>
            <w:tcW w:w="2228"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958"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75" w:type="pct"/>
            <w:vMerge w:val="restart"/>
            <w:vAlign w:val="center"/>
          </w:tcPr>
          <w:p>
            <w:pPr>
              <w:jc w:val="center"/>
              <w:rPr>
                <w:rFonts w:hint="eastAsia" w:eastAsia="宋体"/>
                <w:sz w:val="28"/>
                <w:szCs w:val="28"/>
                <w:lang w:val="en-US" w:eastAsia="zh-CN"/>
              </w:rPr>
            </w:pPr>
            <w:r>
              <w:rPr>
                <w:rFonts w:hint="eastAsia"/>
                <w:sz w:val="24"/>
                <w:szCs w:val="24"/>
                <w:lang w:val="en-US" w:eastAsia="zh-CN"/>
              </w:rPr>
              <w:t>2</w:t>
            </w:r>
          </w:p>
        </w:tc>
        <w:tc>
          <w:tcPr>
            <w:tcW w:w="781" w:type="pct"/>
            <w:vMerge w:val="restart"/>
            <w:vAlign w:val="center"/>
          </w:tcPr>
          <w:p>
            <w:pPr>
              <w:jc w:val="center"/>
              <w:rPr>
                <w:rFonts w:hint="default" w:ascii="宋体" w:hAnsi="宋体" w:eastAsia="宋体" w:cs="Times New Roman"/>
                <w:b/>
                <w:color w:val="000000"/>
                <w:kern w:val="2"/>
                <w:sz w:val="24"/>
                <w:szCs w:val="24"/>
                <w:u w:val="none"/>
                <w:lang w:val="en-US" w:eastAsia="zh-CN" w:bidi="ar-SA"/>
              </w:rPr>
            </w:pPr>
            <w:r>
              <w:rPr>
                <w:rFonts w:hint="eastAsia" w:ascii="宋体" w:hAnsi="宋体"/>
                <w:b/>
                <w:color w:val="FF0000"/>
                <w:sz w:val="28"/>
                <w:szCs w:val="28"/>
                <w:u w:val="none"/>
                <w:lang w:val="en-US" w:eastAsia="zh-CN"/>
              </w:rPr>
              <w:t>石油焦增碳剂</w:t>
            </w:r>
          </w:p>
        </w:tc>
        <w:tc>
          <w:tcPr>
            <w:tcW w:w="657" w:type="pct"/>
            <w:vMerge w:val="restart"/>
            <w:vAlign w:val="center"/>
          </w:tcPr>
          <w:p>
            <w:pPr>
              <w:jc w:val="center"/>
              <w:rPr>
                <w:rFonts w:ascii="Times New Roman" w:hAnsi="Times New Roman" w:eastAsia="宋体" w:cs="Times New Roman"/>
                <w:kern w:val="2"/>
                <w:sz w:val="24"/>
                <w:szCs w:val="24"/>
                <w:lang w:val="en-US" w:eastAsia="zh-CN" w:bidi="ar-SA"/>
              </w:rPr>
            </w:pPr>
            <w:r>
              <w:rPr>
                <w:rFonts w:hint="eastAsia" w:ascii="宋体" w:hAnsi="宋体"/>
                <w:b/>
                <w:color w:val="FF0000"/>
                <w:sz w:val="24"/>
                <w:szCs w:val="24"/>
              </w:rPr>
              <w:t>约</w:t>
            </w:r>
            <w:r>
              <w:rPr>
                <w:rFonts w:hint="eastAsia" w:ascii="宋体" w:hAnsi="宋体"/>
                <w:b/>
                <w:color w:val="FF0000"/>
                <w:sz w:val="24"/>
                <w:szCs w:val="24"/>
                <w:lang w:val="en-US" w:eastAsia="zh-CN"/>
              </w:rPr>
              <w:t>1000</w:t>
            </w:r>
            <w:r>
              <w:rPr>
                <w:rFonts w:hint="eastAsia" w:ascii="宋体" w:hAnsi="宋体"/>
                <w:b/>
                <w:color w:val="FF0000"/>
                <w:sz w:val="24"/>
                <w:szCs w:val="24"/>
              </w:rPr>
              <w:t>吨</w:t>
            </w:r>
          </w:p>
        </w:tc>
        <w:tc>
          <w:tcPr>
            <w:tcW w:w="2228" w:type="pct"/>
            <w:vAlign w:val="top"/>
          </w:tcPr>
          <w:p>
            <w:pPr>
              <w:jc w:val="left"/>
              <w:rPr>
                <w:sz w:val="24"/>
                <w:szCs w:val="24"/>
              </w:rPr>
            </w:pPr>
          </w:p>
          <w:p>
            <w:pPr>
              <w:jc w:val="left"/>
              <w:rPr>
                <w:rFonts w:ascii="Times New Roman" w:hAnsi="Times New Roman" w:eastAsia="宋体" w:cs="Times New Roman"/>
                <w:kern w:val="2"/>
                <w:sz w:val="24"/>
                <w:szCs w:val="24"/>
                <w:lang w:val="en-US" w:eastAsia="zh-CN" w:bidi="ar-SA"/>
              </w:rPr>
            </w:pPr>
            <w:r>
              <w:rPr>
                <w:rFonts w:hint="eastAsia"/>
                <w:sz w:val="24"/>
                <w:szCs w:val="24"/>
              </w:rPr>
              <w:t xml:space="preserve">小写：                      </w:t>
            </w:r>
            <w:r>
              <w:rPr>
                <w:rFonts w:hint="eastAsia"/>
                <w:sz w:val="18"/>
                <w:szCs w:val="18"/>
              </w:rPr>
              <w:t>元/吨</w:t>
            </w:r>
          </w:p>
        </w:tc>
        <w:tc>
          <w:tcPr>
            <w:tcW w:w="958" w:type="pct"/>
            <w:vMerge w:val="restart"/>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375" w:type="pct"/>
            <w:vMerge w:val="continue"/>
          </w:tcPr>
          <w:p>
            <w:pPr>
              <w:rPr>
                <w:sz w:val="28"/>
                <w:szCs w:val="28"/>
              </w:rPr>
            </w:pPr>
          </w:p>
        </w:tc>
        <w:tc>
          <w:tcPr>
            <w:tcW w:w="781" w:type="pct"/>
            <w:vMerge w:val="continue"/>
          </w:tcPr>
          <w:p>
            <w:pPr>
              <w:rPr>
                <w:sz w:val="28"/>
                <w:szCs w:val="28"/>
              </w:rPr>
            </w:pPr>
          </w:p>
        </w:tc>
        <w:tc>
          <w:tcPr>
            <w:tcW w:w="657" w:type="pct"/>
            <w:vMerge w:val="continue"/>
          </w:tcPr>
          <w:p>
            <w:pPr>
              <w:rPr>
                <w:sz w:val="28"/>
                <w:szCs w:val="28"/>
              </w:rPr>
            </w:pPr>
          </w:p>
        </w:tc>
        <w:tc>
          <w:tcPr>
            <w:tcW w:w="2228" w:type="pct"/>
            <w:vAlign w:val="top"/>
          </w:tcPr>
          <w:p>
            <w:pPr>
              <w:jc w:val="left"/>
              <w:rPr>
                <w:sz w:val="24"/>
                <w:szCs w:val="24"/>
              </w:rPr>
            </w:pPr>
          </w:p>
          <w:p>
            <w:pPr>
              <w:jc w:val="left"/>
              <w:rPr>
                <w:rFonts w:ascii="Times New Roman" w:hAnsi="Times New Roman" w:eastAsia="宋体" w:cs="Times New Roman"/>
                <w:kern w:val="2"/>
                <w:sz w:val="24"/>
                <w:szCs w:val="24"/>
                <w:lang w:val="en-US" w:eastAsia="zh-CN" w:bidi="ar-SA"/>
              </w:rPr>
            </w:pPr>
            <w:r>
              <w:rPr>
                <w:rFonts w:hint="eastAsia"/>
                <w:sz w:val="24"/>
                <w:szCs w:val="24"/>
              </w:rPr>
              <w:t xml:space="preserve">大写：                      </w:t>
            </w:r>
            <w:r>
              <w:rPr>
                <w:rFonts w:hint="eastAsia"/>
                <w:sz w:val="18"/>
                <w:szCs w:val="18"/>
              </w:rPr>
              <w:t>元/吨</w:t>
            </w:r>
          </w:p>
        </w:tc>
        <w:tc>
          <w:tcPr>
            <w:tcW w:w="958" w:type="pct"/>
            <w:vMerge w:val="continue"/>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rFonts w:hint="eastAsia"/>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7B30A"/>
    <w:multiLevelType w:val="singleLevel"/>
    <w:tmpl w:val="9FF7B30A"/>
    <w:lvl w:ilvl="0" w:tentative="0">
      <w:start w:val="1"/>
      <w:numFmt w:val="decimal"/>
      <w:suff w:val="nothing"/>
      <w:lvlText w:val="（%1）"/>
      <w:lvlJc w:val="left"/>
    </w:lvl>
  </w:abstractNum>
  <w:abstractNum w:abstractNumId="1">
    <w:nsid w:val="BAAD3FFC"/>
    <w:multiLevelType w:val="singleLevel"/>
    <w:tmpl w:val="BAAD3FFC"/>
    <w:lvl w:ilvl="0" w:tentative="0">
      <w:start w:val="1"/>
      <w:numFmt w:val="decimal"/>
      <w:suff w:val="nothing"/>
      <w:lvlText w:val="%1、"/>
      <w:lvlJc w:val="left"/>
    </w:lvl>
  </w:abstractNum>
  <w:abstractNum w:abstractNumId="2">
    <w:nsid w:val="D639B689"/>
    <w:multiLevelType w:val="singleLevel"/>
    <w:tmpl w:val="D639B689"/>
    <w:lvl w:ilvl="0" w:tentative="0">
      <w:start w:val="1"/>
      <w:numFmt w:val="decimal"/>
      <w:suff w:val="nothing"/>
      <w:lvlText w:val="%1、"/>
      <w:lvlJc w:val="left"/>
    </w:lvl>
  </w:abstractNum>
  <w:abstractNum w:abstractNumId="3">
    <w:nsid w:val="00000002"/>
    <w:multiLevelType w:val="singleLevel"/>
    <w:tmpl w:val="00000002"/>
    <w:lvl w:ilvl="0" w:tentative="0">
      <w:start w:val="2"/>
      <w:numFmt w:val="decimal"/>
      <w:suff w:val="nothing"/>
      <w:lvlText w:val="%1."/>
      <w:lvlJc w:val="left"/>
    </w:lvl>
  </w:abstractNum>
  <w:abstractNum w:abstractNumId="4">
    <w:nsid w:val="00000003"/>
    <w:multiLevelType w:val="singleLevel"/>
    <w:tmpl w:val="00000003"/>
    <w:lvl w:ilvl="0" w:tentative="0">
      <w:start w:val="1"/>
      <w:numFmt w:val="decimal"/>
      <w:suff w:val="nothing"/>
      <w:lvlText w:val="%1."/>
      <w:lvlJc w:val="left"/>
    </w:lvl>
  </w:abstractNum>
  <w:abstractNum w:abstractNumId="5">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6">
    <w:nsid w:val="0000000B"/>
    <w:multiLevelType w:val="singleLevel"/>
    <w:tmpl w:val="0000000B"/>
    <w:lvl w:ilvl="0" w:tentative="0">
      <w:start w:val="1"/>
      <w:numFmt w:val="decimal"/>
      <w:lvlText w:val="（%1）"/>
      <w:lvlJc w:val="left"/>
      <w:pPr>
        <w:tabs>
          <w:tab w:val="left" w:pos="1125"/>
        </w:tabs>
        <w:ind w:left="1125" w:hanging="705"/>
      </w:pPr>
    </w:lvl>
  </w:abstractNum>
  <w:abstractNum w:abstractNumId="7">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9">
    <w:nsid w:val="0000000E"/>
    <w:multiLevelType w:val="singleLevel"/>
    <w:tmpl w:val="0000000E"/>
    <w:lvl w:ilvl="0" w:tentative="0">
      <w:start w:val="1"/>
      <w:numFmt w:val="decimal"/>
      <w:lvlText w:val="%1、"/>
      <w:lvlJc w:val="left"/>
      <w:pPr>
        <w:tabs>
          <w:tab w:val="left" w:pos="705"/>
        </w:tabs>
        <w:ind w:left="705" w:hanging="420"/>
      </w:pPr>
    </w:lvl>
  </w:abstractNum>
  <w:abstractNum w:abstractNumId="10">
    <w:nsid w:val="2C64BC62"/>
    <w:multiLevelType w:val="singleLevel"/>
    <w:tmpl w:val="2C64BC62"/>
    <w:lvl w:ilvl="0" w:tentative="0">
      <w:start w:val="1"/>
      <w:numFmt w:val="decimal"/>
      <w:lvlText w:val="%1."/>
      <w:lvlJc w:val="left"/>
      <w:pPr>
        <w:ind w:left="425" w:hanging="425"/>
      </w:pPr>
      <w:rPr>
        <w:rFonts w:hint="default"/>
      </w:rPr>
    </w:lvl>
  </w:abstractNum>
  <w:abstractNum w:abstractNumId="11">
    <w:nsid w:val="5AE2DA4B"/>
    <w:multiLevelType w:val="singleLevel"/>
    <w:tmpl w:val="5AE2DA4B"/>
    <w:lvl w:ilvl="0" w:tentative="0">
      <w:start w:val="14"/>
      <w:numFmt w:val="chineseCounting"/>
      <w:suff w:val="nothing"/>
      <w:lvlText w:val="%1、"/>
      <w:lvlJc w:val="left"/>
      <w:rPr>
        <w:rFonts w:hint="eastAsia"/>
      </w:rPr>
    </w:lvl>
  </w:abstractNum>
  <w:num w:numId="1">
    <w:abstractNumId w:val="5"/>
    <w:lvlOverride w:ilvl="0">
      <w:startOverride w:val="1"/>
    </w:lvlOverride>
  </w:num>
  <w:num w:numId="2">
    <w:abstractNumId w:val="9"/>
    <w:lvlOverride w:ilvl="0">
      <w:startOverride w:val="1"/>
    </w:lvlOverride>
  </w:num>
  <w:num w:numId="3">
    <w:abstractNumId w:val="8"/>
    <w:lvlOverride w:ilvl="0">
      <w:startOverride w:val="1"/>
    </w:lvlOverride>
  </w:num>
  <w:num w:numId="4">
    <w:abstractNumId w:val="6"/>
    <w:lvlOverride w:ilvl="0">
      <w:startOverride w:val="1"/>
    </w:lvlOverride>
  </w:num>
  <w:num w:numId="5">
    <w:abstractNumId w:val="7"/>
  </w:num>
  <w:num w:numId="6">
    <w:abstractNumId w:val="10"/>
  </w:num>
  <w:num w:numId="7">
    <w:abstractNumId w:val="11"/>
  </w:num>
  <w:num w:numId="8">
    <w:abstractNumId w:val="1"/>
  </w:num>
  <w:num w:numId="9">
    <w:abstractNumId w:val="0"/>
  </w:num>
  <w:num w:numId="10">
    <w:abstractNumId w:val="4"/>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F07D84"/>
    <w:rsid w:val="0E497616"/>
    <w:rsid w:val="0E842CB1"/>
    <w:rsid w:val="0F0803D8"/>
    <w:rsid w:val="0F347211"/>
    <w:rsid w:val="10031B51"/>
    <w:rsid w:val="10094A89"/>
    <w:rsid w:val="10CA64E1"/>
    <w:rsid w:val="110928F7"/>
    <w:rsid w:val="11654D47"/>
    <w:rsid w:val="135C10D5"/>
    <w:rsid w:val="139F3DA1"/>
    <w:rsid w:val="13D576D7"/>
    <w:rsid w:val="14772C2B"/>
    <w:rsid w:val="14881933"/>
    <w:rsid w:val="14F3071A"/>
    <w:rsid w:val="154D48F1"/>
    <w:rsid w:val="158A4695"/>
    <w:rsid w:val="16541AFE"/>
    <w:rsid w:val="1694444C"/>
    <w:rsid w:val="17131114"/>
    <w:rsid w:val="1724223F"/>
    <w:rsid w:val="17F97F08"/>
    <w:rsid w:val="18560C92"/>
    <w:rsid w:val="18ED4DB4"/>
    <w:rsid w:val="190E09F1"/>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8E0AE8"/>
    <w:rsid w:val="25B129B0"/>
    <w:rsid w:val="268D7081"/>
    <w:rsid w:val="26F50CB1"/>
    <w:rsid w:val="26F906B4"/>
    <w:rsid w:val="278055FF"/>
    <w:rsid w:val="288D3DC5"/>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39D246B"/>
    <w:rsid w:val="342060A8"/>
    <w:rsid w:val="34BB556C"/>
    <w:rsid w:val="35212328"/>
    <w:rsid w:val="358603F2"/>
    <w:rsid w:val="36A65EF8"/>
    <w:rsid w:val="36FB2C59"/>
    <w:rsid w:val="373827F1"/>
    <w:rsid w:val="379345D1"/>
    <w:rsid w:val="37974BFF"/>
    <w:rsid w:val="37BE23C2"/>
    <w:rsid w:val="37F02022"/>
    <w:rsid w:val="37F27DC4"/>
    <w:rsid w:val="383E2980"/>
    <w:rsid w:val="387F2F2C"/>
    <w:rsid w:val="3A3F65BD"/>
    <w:rsid w:val="3A773720"/>
    <w:rsid w:val="3AFC391A"/>
    <w:rsid w:val="3B14535E"/>
    <w:rsid w:val="3C036E6F"/>
    <w:rsid w:val="3C3E683E"/>
    <w:rsid w:val="3C456A69"/>
    <w:rsid w:val="3C487023"/>
    <w:rsid w:val="3C887586"/>
    <w:rsid w:val="3D5A40AB"/>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A706B0"/>
    <w:rsid w:val="41BF02F4"/>
    <w:rsid w:val="422E1FDF"/>
    <w:rsid w:val="423C71D1"/>
    <w:rsid w:val="426213B7"/>
    <w:rsid w:val="42CE1EFE"/>
    <w:rsid w:val="43DE4636"/>
    <w:rsid w:val="44106AE0"/>
    <w:rsid w:val="44367FF1"/>
    <w:rsid w:val="4500284B"/>
    <w:rsid w:val="45407B03"/>
    <w:rsid w:val="45C004AA"/>
    <w:rsid w:val="46587D68"/>
    <w:rsid w:val="47847BD9"/>
    <w:rsid w:val="47AD4330"/>
    <w:rsid w:val="48582775"/>
    <w:rsid w:val="48836EA0"/>
    <w:rsid w:val="48C72F43"/>
    <w:rsid w:val="48E1049E"/>
    <w:rsid w:val="49056F4D"/>
    <w:rsid w:val="49280B38"/>
    <w:rsid w:val="492C5B3D"/>
    <w:rsid w:val="49A4783E"/>
    <w:rsid w:val="4A790DED"/>
    <w:rsid w:val="4A85340F"/>
    <w:rsid w:val="4ACE7F4F"/>
    <w:rsid w:val="4AED65F2"/>
    <w:rsid w:val="4B635392"/>
    <w:rsid w:val="4BA21255"/>
    <w:rsid w:val="4DC66F68"/>
    <w:rsid w:val="514F2EE0"/>
    <w:rsid w:val="51A458AF"/>
    <w:rsid w:val="527F49C8"/>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AAF6E02"/>
    <w:rsid w:val="5AEA3AD0"/>
    <w:rsid w:val="5B1D2529"/>
    <w:rsid w:val="5B35349E"/>
    <w:rsid w:val="5B3F7D83"/>
    <w:rsid w:val="5B527398"/>
    <w:rsid w:val="5BA959B9"/>
    <w:rsid w:val="5CC70FAC"/>
    <w:rsid w:val="5D173705"/>
    <w:rsid w:val="5D1B4B8A"/>
    <w:rsid w:val="5D915ACD"/>
    <w:rsid w:val="5E093F5D"/>
    <w:rsid w:val="5E611270"/>
    <w:rsid w:val="5EB2026E"/>
    <w:rsid w:val="5FA30C9C"/>
    <w:rsid w:val="5FE13E30"/>
    <w:rsid w:val="60883A59"/>
    <w:rsid w:val="61033D16"/>
    <w:rsid w:val="623E76D0"/>
    <w:rsid w:val="625B24D7"/>
    <w:rsid w:val="62CD795C"/>
    <w:rsid w:val="6438579B"/>
    <w:rsid w:val="655749FB"/>
    <w:rsid w:val="65E5671A"/>
    <w:rsid w:val="66EA0C9A"/>
    <w:rsid w:val="66FB3BC1"/>
    <w:rsid w:val="67023348"/>
    <w:rsid w:val="678F7868"/>
    <w:rsid w:val="686F59C5"/>
    <w:rsid w:val="68985C4A"/>
    <w:rsid w:val="68BB275A"/>
    <w:rsid w:val="695E0A51"/>
    <w:rsid w:val="6AE713EB"/>
    <w:rsid w:val="6B015D37"/>
    <w:rsid w:val="6B9014C7"/>
    <w:rsid w:val="6C7B13C4"/>
    <w:rsid w:val="6C7F53F5"/>
    <w:rsid w:val="6CA73029"/>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C5670"/>
    <w:rsid w:val="719201E7"/>
    <w:rsid w:val="71F96DCA"/>
    <w:rsid w:val="72107C5B"/>
    <w:rsid w:val="732D2693"/>
    <w:rsid w:val="73476175"/>
    <w:rsid w:val="7357254E"/>
    <w:rsid w:val="73611393"/>
    <w:rsid w:val="7431112D"/>
    <w:rsid w:val="749D6575"/>
    <w:rsid w:val="754F1E1A"/>
    <w:rsid w:val="761859F6"/>
    <w:rsid w:val="76206BC5"/>
    <w:rsid w:val="770E210B"/>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26</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2021-05-06T07:04:23Z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453E5B5609E442AFA1DE49CA80052D1B</vt:lpwstr>
  </property>
</Properties>
</file>