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低氮增碳剂及石油焦增碳剂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行的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低氮增碳剂及石油焦增碳剂招标</w:t>
      </w:r>
      <w:r>
        <w:rPr>
          <w:rFonts w:hint="eastAsia" w:ascii="宋体" w:hAnsi="宋体"/>
          <w:sz w:val="28"/>
          <w:szCs w:val="28"/>
          <w:lang w:val="en-US" w:eastAsia="zh-CN"/>
        </w:rPr>
        <w:t>招标，其中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石油焦增碳剂标段</w:t>
      </w:r>
      <w:r>
        <w:rPr>
          <w:rFonts w:hint="eastAsia" w:ascii="宋体" w:hAnsi="宋体"/>
          <w:sz w:val="28"/>
          <w:szCs w:val="28"/>
        </w:rPr>
        <w:t>，变更至20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>上午9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0进行。由此给各参标单位带来不便，敬请谅解！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ind w:right="560"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招标办</w:t>
      </w:r>
    </w:p>
    <w:p>
      <w:pPr>
        <w:tabs>
          <w:tab w:val="left" w:pos="536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3A2DA8"/>
    <w:rsid w:val="49FA277D"/>
    <w:rsid w:val="4D0B5AC5"/>
    <w:rsid w:val="4D1425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2021-05-19T00:11:31Z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8746E2A7CA094632BDBFFF21B1A40429</vt:lpwstr>
  </property>
</Properties>
</file>