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bookmarkStart w:id="0" w:name="_GoBack"/>
      <w:r>
        <w:rPr>
          <w:rFonts w:hint="eastAsia" w:ascii="宋体" w:hAnsi="宋体"/>
          <w:b/>
          <w:sz w:val="44"/>
          <w:szCs w:val="44"/>
          <w:lang w:val="en-US" w:eastAsia="zh-CN"/>
        </w:rPr>
        <w:t>炼钢用轻烧镁球</w:t>
      </w:r>
    </w:p>
    <w:p>
      <w:pPr>
        <w:jc w:val="center"/>
        <w:rPr>
          <w:color w:val="000000"/>
          <w:sz w:val="44"/>
          <w:szCs w:val="44"/>
        </w:rPr>
      </w:pPr>
      <w:r>
        <w:rPr>
          <w:rFonts w:hint="eastAsia" w:ascii="宋体" w:hAnsi="宋体"/>
          <w:b/>
          <w:sz w:val="44"/>
          <w:szCs w:val="44"/>
        </w:rPr>
        <w:t>招标公告</w:t>
      </w:r>
    </w:p>
    <w:bookmarkEnd w:id="0"/>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25</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SC202106002QSMQ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炼钢用轻烧镁球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6</w:t>
      </w:r>
      <w:r>
        <w:rPr>
          <w:rFonts w:ascii="宋体" w:hAnsi="宋体"/>
          <w:bCs/>
          <w:sz w:val="24"/>
          <w:szCs w:val="24"/>
        </w:rPr>
        <w:t>月</w:t>
      </w:r>
      <w:r>
        <w:rPr>
          <w:rFonts w:hint="eastAsia" w:ascii="宋体" w:hAnsi="宋体"/>
          <w:bCs/>
          <w:sz w:val="24"/>
          <w:szCs w:val="24"/>
          <w:u w:val="single"/>
          <w:lang w:val="en-US" w:eastAsia="zh-CN"/>
        </w:rPr>
        <w:t>2</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4日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6</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本次招标招三个月的供货量，炼钢用轻烧镁球约4000吨（该数量为三个月理论需求数量，具体供货数量以生产单位实际用量为准，具体供货时间以商务部门通知为准）按照单吨价报价，并注明相应的供应数量。</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提供2019年至今两份及以上轻烧镁球供货业绩</w:t>
      </w:r>
      <w:r>
        <w:rPr>
          <w:rFonts w:hint="eastAsia" w:ascii="宋体" w:hAnsi="宋体"/>
          <w:b/>
          <w:color w:val="FF0000"/>
          <w:sz w:val="22"/>
          <w:szCs w:val="22"/>
          <w:lang w:eastAsia="zh-CN"/>
        </w:rPr>
        <w:t>。（</w:t>
      </w:r>
      <w:r>
        <w:rPr>
          <w:rFonts w:hint="eastAsia" w:ascii="宋体" w:hAnsi="宋体"/>
          <w:b/>
          <w:color w:val="FF0000"/>
          <w:sz w:val="22"/>
          <w:szCs w:val="22"/>
          <w:lang w:val="en-US" w:eastAsia="zh-CN"/>
        </w:rPr>
        <w:t>附合同+发票复印件</w:t>
      </w:r>
      <w:r>
        <w:rPr>
          <w:rFonts w:hint="eastAsia" w:ascii="宋体" w:hAnsi="宋体"/>
          <w:b/>
          <w:color w:val="FF0000"/>
          <w:sz w:val="22"/>
          <w:szCs w:val="22"/>
          <w:lang w:eastAsia="zh-CN"/>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按我方要求随时准备送货进厂；包装吨袋质量必须保证，标识清楚</w:t>
      </w:r>
      <w:r>
        <w:rPr>
          <w:rFonts w:hint="eastAsia" w:ascii="宋体" w:hAnsi="宋体"/>
          <w:b/>
          <w:color w:val="FF0000"/>
          <w:sz w:val="22"/>
          <w:szCs w:val="22"/>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1000元/吨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大写：壹仟元每吨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numPr>
          <w:numId w:val="0"/>
        </w:numPr>
        <w:spacing w:line="360" w:lineRule="auto"/>
        <w:ind w:left="420" w:leftChars="0"/>
        <w:rPr>
          <w:rFonts w:hint="eastAsia" w:ascii="宋体" w:hAnsi="宋体"/>
          <w:b/>
          <w:color w:val="FF0000"/>
          <w:sz w:val="22"/>
          <w:szCs w:val="22"/>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lang w:val="en-US" w:eastAsia="zh-CN"/>
              </w:rPr>
              <w:t>三个月</w:t>
            </w: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炼钢用轻烧镁球</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4000</w:t>
            </w:r>
            <w:r>
              <w:rPr>
                <w:rFonts w:hint="eastAsia" w:ascii="宋体" w:hAnsi="宋体"/>
                <w:b/>
                <w:color w:val="FF0000"/>
                <w:sz w:val="28"/>
                <w:szCs w:val="28"/>
              </w:rPr>
              <w:t>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0F4D7AFC"/>
    <w:rsid w:val="10CA64E1"/>
    <w:rsid w:val="110928F7"/>
    <w:rsid w:val="11654D47"/>
    <w:rsid w:val="118E286C"/>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220281"/>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44535DC"/>
    <w:rsid w:val="554C057B"/>
    <w:rsid w:val="56065626"/>
    <w:rsid w:val="562E1D47"/>
    <w:rsid w:val="566E6D8E"/>
    <w:rsid w:val="56FF0A43"/>
    <w:rsid w:val="57AC75B3"/>
    <w:rsid w:val="57D705F2"/>
    <w:rsid w:val="596D6D11"/>
    <w:rsid w:val="598A03E4"/>
    <w:rsid w:val="59AE033E"/>
    <w:rsid w:val="5AAF6E02"/>
    <w:rsid w:val="5AEA3AD0"/>
    <w:rsid w:val="5B1D2529"/>
    <w:rsid w:val="5B35349E"/>
    <w:rsid w:val="5B3F7D83"/>
    <w:rsid w:val="5B527398"/>
    <w:rsid w:val="5BA959B9"/>
    <w:rsid w:val="5CC70FAC"/>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137</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2021-05-25T07:39:42Z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