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bookmarkStart w:id="0" w:name="_GoBack"/>
      <w:bookmarkEnd w:id="0"/>
      <w:r>
        <w:rPr>
          <w:rFonts w:hint="eastAsia" w:ascii="宋体" w:hAnsi="宋体"/>
          <w:b/>
          <w:sz w:val="44"/>
          <w:szCs w:val="44"/>
          <w:lang w:val="en-US" w:eastAsia="zh-CN"/>
        </w:rPr>
        <w:t>增碳剂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27</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202106004ZTJ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石  </w:t>
      </w:r>
      <w:r>
        <w:rPr>
          <w:rFonts w:hint="eastAsia" w:ascii="宋体" w:hAnsi="宋体" w:cs="Times New Roman"/>
          <w:kern w:val="2"/>
          <w:sz w:val="24"/>
          <w:szCs w:val="24"/>
          <w:lang w:val="en-US" w:eastAsia="zh-CN" w:bidi="ar-SA"/>
        </w:rPr>
        <w:t>工</w:t>
      </w:r>
      <w:r>
        <w:rPr>
          <w:rFonts w:hint="eastAsia" w:ascii="宋体" w:hAnsi="宋体" w:eastAsia="宋体" w:cs="Times New Roman"/>
          <w:kern w:val="2"/>
          <w:sz w:val="24"/>
          <w:szCs w:val="24"/>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何  工</w:t>
      </w:r>
      <w:r>
        <w:rPr>
          <w:rFonts w:hint="eastAsia" w:ascii="宋体" w:hAnsi="宋体" w:eastAsia="宋体" w:cs="Times New Roman"/>
          <w:kern w:val="2"/>
          <w:sz w:val="24"/>
          <w:szCs w:val="24"/>
          <w:lang w:val="en-US" w:eastAsia="zh-CN" w:bidi="ar-SA"/>
        </w:rPr>
        <w:t xml:space="preserve">    18955389358</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6</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6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7日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6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sz w:val="24"/>
          <w:szCs w:val="24"/>
          <w:lang w:val="en-US" w:eastAsia="zh-CN"/>
        </w:rPr>
      </w:pPr>
      <w:r>
        <w:rPr>
          <w:rFonts w:hint="eastAsia" w:ascii="宋体" w:hAnsi="宋体"/>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增碳剂1300</w:t>
      </w:r>
      <w:r>
        <w:rPr>
          <w:rFonts w:hint="eastAsia" w:ascii="宋体" w:hAnsi="宋体"/>
          <w:b/>
          <w:color w:val="FF0000"/>
          <w:sz w:val="24"/>
          <w:szCs w:val="24"/>
        </w:rPr>
        <w:t>吨（</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3000元/吨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大写：叁仟元每吨</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widowControl w:val="0"/>
        <w:spacing w:line="360" w:lineRule="auto"/>
        <w:jc w:val="center"/>
        <w:rPr>
          <w:rFonts w:hint="default" w:asciiTheme="minorEastAsia" w:hAnsiTheme="minorEastAsia" w:eastAsiaTheme="minorEastAsia"/>
          <w:b/>
          <w:bCs/>
          <w:color w:val="000000"/>
          <w:sz w:val="32"/>
          <w:szCs w:val="32"/>
          <w:lang w:val="en-US" w:eastAsia="zh-CN"/>
        </w:rPr>
      </w:pPr>
      <w:r>
        <w:rPr>
          <w:rFonts w:hint="eastAsia" w:asciiTheme="minorEastAsia" w:hAnsiTheme="minorEastAsia" w:eastAsiaTheme="minorEastAsia"/>
          <w:b/>
          <w:bCs/>
          <w:color w:val="000000"/>
          <w:sz w:val="32"/>
          <w:szCs w:val="32"/>
          <w:lang w:val="en-US" w:eastAsia="zh-CN"/>
        </w:rPr>
        <w:t>增碳剂质量标准技术统一平台</w:t>
      </w:r>
    </w:p>
    <w:p>
      <w:pPr>
        <w:widowControl w:val="0"/>
        <w:spacing w:line="360" w:lineRule="auto"/>
        <w:jc w:val="both"/>
        <w:rPr>
          <w:rFonts w:hint="eastAsia"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1、质量标准</w:t>
      </w:r>
      <w:r>
        <w:rPr>
          <w:rFonts w:hint="eastAsia" w:asciiTheme="minorEastAsia" w:hAnsiTheme="minorEastAsia" w:eastAsiaTheme="minorEastAsia"/>
          <w:color w:val="000000"/>
          <w:sz w:val="28"/>
          <w:szCs w:val="28"/>
        </w:rPr>
        <w:t>：FC≥90%；St.d≤0.5%；水分≤0.5%；粒度：0.5-7mm；小于0.5mm的比例≤10%，大于7mm的比例≤5%。让步接收条件：FC≥88%、St.d≤0.6%、水分≤0.7%。粒度：小于 0.5mm的比例≤15%；大于 7mm 的比例≤10%。</w:t>
      </w:r>
    </w:p>
    <w:p>
      <w:pPr>
        <w:widowControl w:val="0"/>
        <w:spacing w:line="360" w:lineRule="auto"/>
        <w:jc w:val="both"/>
        <w:rPr>
          <w:rFonts w:hint="eastAsia"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2、质量考核</w:t>
      </w:r>
      <w:r>
        <w:rPr>
          <w:rFonts w:hint="eastAsia" w:asciiTheme="minorEastAsia" w:hAnsiTheme="minorEastAsia" w:eastAsiaTheme="minorEastAsia"/>
          <w:color w:val="000000"/>
          <w:sz w:val="28"/>
          <w:szCs w:val="28"/>
        </w:rPr>
        <w:t>①、FC：89%≤C＜90%每下降 0.1%，合同价格降 0.5%;88%≤C＜89%间，每下降 0.1%，合同价格降 1%；超出让步范围原则上退货或在原处罚基础上双倍扣罚。②、St.d 超出标准在让步接收范围内，每上升 0.01%,合同价格降 0.05%；超出让步范围原则上退货或在原处罚基础上双倍扣罚。③、0.5%＜H 2 O≤0.7%，每增加 0.1%，合同价格降 2%，H2O＞0.7%，作退货处理。④.粒度超出合同规定标准，超出部分扣除吨位，超出让步范围原则上退货或在原处罚基础上双倍扣罚。⑤.满足炼钢部生产需求，如因产品质量问题影响生产，造成的损失由供方承担。</w:t>
      </w:r>
    </w:p>
    <w:p>
      <w:pPr>
        <w:widowControl w:val="0"/>
        <w:spacing w:line="360" w:lineRule="auto"/>
        <w:jc w:val="both"/>
        <w:rPr>
          <w:rFonts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3、吨袋包装</w:t>
      </w:r>
      <w:r>
        <w:rPr>
          <w:rFonts w:hint="eastAsia" w:asciiTheme="minorEastAsia" w:hAnsiTheme="minorEastAsia" w:eastAsiaTheme="minorEastAsia"/>
          <w:b/>
          <w:color w:val="000000"/>
          <w:sz w:val="28"/>
          <w:szCs w:val="28"/>
        </w:rPr>
        <w:t>：包装要求分两种：①</w:t>
      </w:r>
      <w:r>
        <w:rPr>
          <w:rFonts w:hint="eastAsia" w:asciiTheme="minorEastAsia" w:hAnsiTheme="minorEastAsia" w:eastAsiaTheme="minorEastAsia"/>
          <w:color w:val="000000"/>
          <w:sz w:val="28"/>
          <w:szCs w:val="28"/>
        </w:rPr>
        <w:t>内小袋重量15±0.2KG。四层包装，做好防潮措施，吨袋包装外层和小袋包装外层为编织袋，吨袋包装内层和小袋包装内层为塑料袋。塑料袋具有一定强度，保证质量，不易刺破，起到防潮效果。吨袋</w:t>
      </w:r>
      <w:r>
        <w:rPr>
          <w:rFonts w:asciiTheme="minorEastAsia" w:hAnsiTheme="minorEastAsia" w:eastAsiaTheme="minorEastAsia"/>
          <w:color w:val="000000"/>
          <w:sz w:val="28"/>
          <w:szCs w:val="28"/>
        </w:rPr>
        <w:t>包装袋上必须注明物资名称、生产厂家、包装重量等信息</w:t>
      </w:r>
      <w:r>
        <w:rPr>
          <w:rFonts w:hint="eastAsia" w:asciiTheme="minorEastAsia" w:hAnsiTheme="minorEastAsia" w:eastAsiaTheme="minorEastAsia"/>
          <w:color w:val="000000"/>
          <w:sz w:val="28"/>
          <w:szCs w:val="28"/>
        </w:rPr>
        <w:t>，小包装袋上必须注明物资名称、重量等信息。</w:t>
      </w:r>
      <w:r>
        <w:rPr>
          <w:rFonts w:hint="eastAsia" w:asciiTheme="minorEastAsia" w:hAnsiTheme="minorEastAsia" w:eastAsiaTheme="minorEastAsia"/>
          <w:b/>
          <w:color w:val="000000"/>
          <w:sz w:val="28"/>
          <w:szCs w:val="28"/>
        </w:rPr>
        <w:t>②</w:t>
      </w:r>
      <w:r>
        <w:rPr>
          <w:rFonts w:hint="eastAsia" w:asciiTheme="minorEastAsia" w:hAnsiTheme="minorEastAsia" w:eastAsiaTheme="minorEastAsia"/>
          <w:color w:val="000000"/>
          <w:sz w:val="28"/>
          <w:szCs w:val="28"/>
        </w:rPr>
        <w:t>内不含小袋，包装采用2层，外层为编织袋，内为塑料膜，塑料膜强度不易刺破，起到防潮作用。要求内膜口和编织袋口缝在一起或粘在一起，保证底部破袋时内膜不随增碳剂掉落，包装标识必须包含物资名称、生产厂家、包装重量、生产日期等信息，不符合要求的按200元/袋落实考核。</w:t>
      </w:r>
      <w:r>
        <w:rPr>
          <w:rFonts w:asciiTheme="minorEastAsia" w:hAnsiTheme="minorEastAsia" w:eastAsiaTheme="minorEastAsia"/>
          <w:color w:val="000000"/>
          <w:sz w:val="28"/>
          <w:szCs w:val="28"/>
        </w:rPr>
        <w:t>如包装重量发生变化，提前通知供货厂家并进行调整。大袋包装重量为</w:t>
      </w:r>
      <w:r>
        <w:rPr>
          <w:rFonts w:hint="eastAsia" w:asciiTheme="minorEastAsia" w:hAnsiTheme="minorEastAsia" w:eastAsiaTheme="minorEastAsia"/>
          <w:color w:val="000000"/>
          <w:sz w:val="28"/>
          <w:szCs w:val="28"/>
        </w:rPr>
        <w:t>100</w:t>
      </w:r>
      <w:r>
        <w:rPr>
          <w:rFonts w:asciiTheme="minorEastAsia" w:hAnsiTheme="minorEastAsia" w:eastAsiaTheme="minorEastAsia"/>
          <w:color w:val="000000"/>
          <w:sz w:val="28"/>
          <w:szCs w:val="28"/>
        </w:rPr>
        <w:t>0公斤包装</w:t>
      </w:r>
      <w:r>
        <w:rPr>
          <w:rFonts w:hint="eastAsia" w:asciiTheme="minorEastAsia" w:hAnsiTheme="minorEastAsia" w:eastAsiaTheme="minorEastAsia"/>
          <w:color w:val="000000"/>
          <w:sz w:val="28"/>
          <w:szCs w:val="28"/>
        </w:rPr>
        <w:t>，包装袋供方不回收。</w:t>
      </w:r>
      <w:r>
        <w:rPr>
          <w:rFonts w:asciiTheme="minorEastAsia" w:hAnsiTheme="minorEastAsia" w:eastAsiaTheme="minorEastAsia"/>
          <w:color w:val="000000"/>
          <w:sz w:val="28"/>
          <w:szCs w:val="28"/>
        </w:rPr>
        <w:t>如果因为吨袋质量问题导致在卸货过程中出现漏料、撒料的情况，全部责任由供方承担。</w:t>
      </w:r>
    </w:p>
    <w:p>
      <w:pPr>
        <w:widowControl w:val="0"/>
        <w:spacing w:line="360" w:lineRule="auto"/>
        <w:jc w:val="both"/>
        <w:rPr>
          <w:rFonts w:asciiTheme="minorEastAsia" w:hAnsiTheme="minorEastAsia" w:eastAsiaTheme="minorEastAsia"/>
          <w:color w:val="000000"/>
          <w:sz w:val="28"/>
          <w:szCs w:val="28"/>
        </w:rPr>
      </w:pPr>
    </w:p>
    <w:p>
      <w:pPr>
        <w:widowControl w:val="0"/>
        <w:spacing w:line="360" w:lineRule="auto"/>
        <w:jc w:val="both"/>
        <w:rPr>
          <w:rFonts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440"/>
        <w:gridCol w:w="1211"/>
        <w:gridCol w:w="410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3" w:type="pct"/>
            <w:vAlign w:val="center"/>
          </w:tcPr>
          <w:p>
            <w:pPr>
              <w:jc w:val="center"/>
              <w:rPr>
                <w:sz w:val="18"/>
                <w:szCs w:val="18"/>
              </w:rPr>
            </w:pPr>
            <w:r>
              <w:rPr>
                <w:rFonts w:hint="eastAsia"/>
                <w:sz w:val="18"/>
                <w:szCs w:val="18"/>
              </w:rPr>
              <w:t>序号</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28" w:type="pct"/>
            <w:vAlign w:val="center"/>
          </w:tcPr>
          <w:p>
            <w:pPr>
              <w:jc w:val="center"/>
              <w:rPr>
                <w:sz w:val="18"/>
                <w:szCs w:val="18"/>
              </w:rPr>
            </w:pPr>
            <w:r>
              <w:rPr>
                <w:rFonts w:hint="eastAsia"/>
                <w:sz w:val="18"/>
                <w:szCs w:val="18"/>
              </w:rPr>
              <w:t>含税、含运费报价（元/吨）</w:t>
            </w:r>
          </w:p>
        </w:tc>
        <w:tc>
          <w:tcPr>
            <w:tcW w:w="95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3"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增碳剂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1300</w:t>
            </w:r>
            <w:r>
              <w:rPr>
                <w:rFonts w:hint="eastAsia" w:ascii="宋体" w:hAnsi="宋体"/>
                <w:b/>
                <w:color w:val="FF0000"/>
                <w:sz w:val="24"/>
                <w:szCs w:val="24"/>
              </w:rPr>
              <w:t>吨</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73"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rFonts w:hint="eastAsia"/>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9345D1"/>
    <w:rsid w:val="37974BFF"/>
    <w:rsid w:val="37BE23C2"/>
    <w:rsid w:val="37F02022"/>
    <w:rsid w:val="37F27DC4"/>
    <w:rsid w:val="37FA0AD6"/>
    <w:rsid w:val="383E2980"/>
    <w:rsid w:val="387F2F2C"/>
    <w:rsid w:val="3A3F65BD"/>
    <w:rsid w:val="3A773720"/>
    <w:rsid w:val="3AFC391A"/>
    <w:rsid w:val="3B14535E"/>
    <w:rsid w:val="3C036E6F"/>
    <w:rsid w:val="3C3E683E"/>
    <w:rsid w:val="3C456A69"/>
    <w:rsid w:val="3C487023"/>
    <w:rsid w:val="3C887586"/>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A706B0"/>
    <w:rsid w:val="41BF02F4"/>
    <w:rsid w:val="422E1FDF"/>
    <w:rsid w:val="423C71D1"/>
    <w:rsid w:val="426213B7"/>
    <w:rsid w:val="42CE1EFE"/>
    <w:rsid w:val="435C1211"/>
    <w:rsid w:val="43DE4636"/>
    <w:rsid w:val="44106AE0"/>
    <w:rsid w:val="44367FF1"/>
    <w:rsid w:val="4500284B"/>
    <w:rsid w:val="45407B03"/>
    <w:rsid w:val="45C004AA"/>
    <w:rsid w:val="46587D68"/>
    <w:rsid w:val="47847BD9"/>
    <w:rsid w:val="47AD4330"/>
    <w:rsid w:val="48582775"/>
    <w:rsid w:val="48836EA0"/>
    <w:rsid w:val="48C72F43"/>
    <w:rsid w:val="48E1049E"/>
    <w:rsid w:val="49056F4D"/>
    <w:rsid w:val="49280B38"/>
    <w:rsid w:val="492C5B3D"/>
    <w:rsid w:val="49A4783E"/>
    <w:rsid w:val="4A790DED"/>
    <w:rsid w:val="4A85340F"/>
    <w:rsid w:val="4ACE7F4F"/>
    <w:rsid w:val="4AED65F2"/>
    <w:rsid w:val="4B635392"/>
    <w:rsid w:val="4BA21255"/>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8D7C6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2021-05-27T03:02:32Z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453E5B5609E442AFA1DE49CA80052D1B</vt:lpwstr>
  </property>
</Properties>
</file>