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芜湖新兴铸管有限责任公司</w:t>
      </w:r>
    </w:p>
    <w:p>
      <w:pPr>
        <w:spacing w:after="0" w:line="360" w:lineRule="auto"/>
        <w:jc w:val="both"/>
        <w:rPr>
          <w:rFonts w:ascii="宋体" w:hAnsi="宋体" w:eastAsia="宋体" w:cs="宋体"/>
          <w:b/>
          <w:bCs/>
          <w:color w:val="auto"/>
          <w:sz w:val="52"/>
          <w:szCs w:val="52"/>
          <w:highlight w:val="none"/>
        </w:rPr>
      </w:pPr>
    </w:p>
    <w:p>
      <w:pPr>
        <w:spacing w:after="0" w:line="360" w:lineRule="auto"/>
        <w:jc w:val="center"/>
        <w:rPr>
          <w:rFonts w:hint="eastAsia" w:ascii="宋体" w:hAnsi="宋体" w:eastAsia="宋体"/>
          <w:b/>
          <w:color w:val="auto"/>
          <w:sz w:val="48"/>
          <w:szCs w:val="48"/>
          <w:highlight w:val="none"/>
        </w:rPr>
      </w:pPr>
      <w:r>
        <w:rPr>
          <w:rFonts w:hint="eastAsia" w:ascii="宋体" w:hAnsi="宋体" w:eastAsia="宋体"/>
          <w:b/>
          <w:color w:val="auto"/>
          <w:sz w:val="48"/>
          <w:szCs w:val="48"/>
          <w:highlight w:val="none"/>
        </w:rPr>
        <w:t>轧钢部小棒加热炉</w:t>
      </w:r>
    </w:p>
    <w:p>
      <w:pPr>
        <w:spacing w:after="0" w:line="360" w:lineRule="auto"/>
        <w:jc w:val="center"/>
        <w:rPr>
          <w:rFonts w:hint="eastAsia" w:ascii="宋体" w:hAnsi="宋体" w:eastAsia="宋体"/>
          <w:b/>
          <w:color w:val="auto"/>
          <w:sz w:val="48"/>
          <w:szCs w:val="48"/>
          <w:highlight w:val="none"/>
        </w:rPr>
      </w:pPr>
      <w:r>
        <w:rPr>
          <w:rFonts w:hint="eastAsia" w:ascii="宋体" w:hAnsi="宋体" w:eastAsia="宋体"/>
          <w:b/>
          <w:color w:val="auto"/>
          <w:sz w:val="48"/>
          <w:szCs w:val="48"/>
          <w:highlight w:val="none"/>
        </w:rPr>
        <w:t>烟气循环燃烧系统</w:t>
      </w:r>
    </w:p>
    <w:p>
      <w:pPr>
        <w:spacing w:after="0" w:line="360" w:lineRule="auto"/>
        <w:jc w:val="center"/>
        <w:rPr>
          <w:rFonts w:ascii="宋体" w:hAnsi="宋体" w:eastAsia="宋体" w:cs="宋体"/>
          <w:b/>
          <w:bCs/>
          <w:color w:val="auto"/>
          <w:sz w:val="48"/>
          <w:szCs w:val="48"/>
          <w:highlight w:val="none"/>
        </w:rPr>
      </w:pPr>
      <w:r>
        <w:rPr>
          <w:rFonts w:hint="eastAsia" w:ascii="宋体" w:hAnsi="宋体" w:eastAsia="宋体"/>
          <w:b/>
          <w:color w:val="auto"/>
          <w:sz w:val="48"/>
          <w:szCs w:val="48"/>
          <w:highlight w:val="none"/>
        </w:rPr>
        <w:t>改造</w:t>
      </w:r>
      <w:r>
        <w:rPr>
          <w:rFonts w:hint="eastAsia" w:ascii="宋体" w:hAnsi="宋体" w:eastAsia="宋体"/>
          <w:b/>
          <w:color w:val="auto"/>
          <w:sz w:val="48"/>
          <w:szCs w:val="48"/>
          <w:highlight w:val="none"/>
          <w:lang w:eastAsia="zh-CN"/>
        </w:rPr>
        <w:t>项目</w:t>
      </w:r>
    </w:p>
    <w:p>
      <w:pPr>
        <w:spacing w:after="0" w:line="360" w:lineRule="auto"/>
        <w:jc w:val="center"/>
        <w:rPr>
          <w:rFonts w:ascii="宋体" w:hAnsi="宋体" w:eastAsia="宋体" w:cs="宋体"/>
          <w:b/>
          <w:bCs/>
          <w:color w:val="auto"/>
          <w:sz w:val="48"/>
          <w:szCs w:val="48"/>
          <w:highlight w:val="none"/>
        </w:rPr>
      </w:pPr>
    </w:p>
    <w:p>
      <w:pPr>
        <w:spacing w:after="0" w:line="360" w:lineRule="auto"/>
        <w:jc w:val="center"/>
        <w:rPr>
          <w:rFonts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技</w:t>
      </w:r>
    </w:p>
    <w:p>
      <w:pPr>
        <w:spacing w:after="0" w:line="360" w:lineRule="auto"/>
        <w:jc w:val="center"/>
        <w:rPr>
          <w:rFonts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术</w:t>
      </w:r>
    </w:p>
    <w:p>
      <w:pPr>
        <w:spacing w:after="0" w:line="360" w:lineRule="auto"/>
        <w:jc w:val="center"/>
        <w:rPr>
          <w:rFonts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规</w:t>
      </w:r>
    </w:p>
    <w:p>
      <w:pPr>
        <w:spacing w:after="0" w:line="360" w:lineRule="auto"/>
        <w:jc w:val="center"/>
        <w:rPr>
          <w:rFonts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格</w:t>
      </w:r>
    </w:p>
    <w:p>
      <w:pPr>
        <w:spacing w:after="0" w:line="360" w:lineRule="auto"/>
        <w:jc w:val="center"/>
        <w:rPr>
          <w:rFonts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书</w:t>
      </w:r>
    </w:p>
    <w:p>
      <w:pPr>
        <w:spacing w:after="0" w:line="360" w:lineRule="auto"/>
        <w:rPr>
          <w:rFonts w:ascii="宋体" w:hAnsi="宋体" w:eastAsia="宋体" w:cs="宋体"/>
          <w:b/>
          <w:bCs/>
          <w:color w:val="auto"/>
          <w:sz w:val="52"/>
          <w:szCs w:val="52"/>
          <w:highlight w:val="none"/>
        </w:rPr>
      </w:pPr>
    </w:p>
    <w:p>
      <w:pPr>
        <w:spacing w:after="0" w:line="360" w:lineRule="auto"/>
        <w:rPr>
          <w:rFonts w:ascii="宋体" w:hAnsi="宋体" w:eastAsia="宋体" w:cs="宋体"/>
          <w:b/>
          <w:bCs/>
          <w:color w:val="auto"/>
          <w:sz w:val="52"/>
          <w:szCs w:val="52"/>
          <w:highlight w:val="none"/>
        </w:rPr>
      </w:pPr>
    </w:p>
    <w:p>
      <w:pPr>
        <w:rPr>
          <w:color w:val="auto"/>
          <w:highlight w:val="none"/>
        </w:rPr>
      </w:pPr>
    </w:p>
    <w:p>
      <w:pPr>
        <w:spacing w:after="0" w:line="360" w:lineRule="auto"/>
        <w:ind w:left="-220" w:leftChars="-1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编制：     审核：     会签：     项目负责：     批准</w:t>
      </w:r>
      <w:bookmarkStart w:id="0" w:name="OLE_LINK1"/>
      <w:bookmarkEnd w:id="0"/>
      <w:bookmarkStart w:id="1" w:name="OLE_LINK3"/>
      <w:bookmarkEnd w:id="1"/>
      <w:bookmarkStart w:id="2" w:name="OLE_LINK2"/>
      <w:bookmarkEnd w:id="2"/>
      <w:r>
        <w:rPr>
          <w:rFonts w:hint="eastAsia" w:ascii="宋体" w:hAnsi="宋体" w:eastAsia="宋体" w:cs="宋体"/>
          <w:b/>
          <w:bCs/>
          <w:color w:val="auto"/>
          <w:sz w:val="32"/>
          <w:szCs w:val="32"/>
          <w:highlight w:val="none"/>
        </w:rPr>
        <w:t>:</w:t>
      </w:r>
    </w:p>
    <w:p>
      <w:pPr>
        <w:widowControl w:val="0"/>
        <w:numPr>
          <w:ilvl w:val="0"/>
          <w:numId w:val="1"/>
        </w:numPr>
        <w:adjustRightInd/>
        <w:snapToGrid/>
        <w:spacing w:beforeLines="50" w:after="0" w:line="360" w:lineRule="auto"/>
        <w:jc w:val="both"/>
        <w:rPr>
          <w:rFonts w:ascii="宋体" w:hAnsi="宋体" w:eastAsia="宋体" w:cs="宋体"/>
          <w:b/>
          <w:bCs/>
          <w:color w:val="auto"/>
          <w:sz w:val="24"/>
          <w:highlight w:val="none"/>
        </w:rPr>
        <w:sectPr>
          <w:pgSz w:w="11906" w:h="16838"/>
          <w:pgMar w:top="1440" w:right="1800" w:bottom="1440" w:left="1800" w:header="708" w:footer="708" w:gutter="0"/>
          <w:pgNumType w:fmt="decimal"/>
          <w:cols w:space="708" w:num="1"/>
          <w:docGrid w:linePitch="360" w:charSpace="0"/>
        </w:sectPr>
      </w:pPr>
    </w:p>
    <w:p>
      <w:pPr>
        <w:widowControl w:val="0"/>
        <w:numPr>
          <w:ilvl w:val="0"/>
          <w:numId w:val="1"/>
        </w:numPr>
        <w:adjustRightInd/>
        <w:snapToGrid/>
        <w:spacing w:beforeLines="50" w:after="0" w:line="360" w:lineRule="auto"/>
        <w:jc w:val="both"/>
        <w:rPr>
          <w:rFonts w:ascii="宋体" w:hAnsi="宋体" w:eastAsia="宋体" w:cs="宋体"/>
          <w:b/>
          <w:bCs/>
          <w:color w:val="auto"/>
          <w:sz w:val="24"/>
          <w:highlight w:val="none"/>
        </w:rPr>
      </w:pPr>
      <w:r>
        <w:rPr>
          <w:rFonts w:hint="eastAsia" w:ascii="宋体" w:hAnsi="宋体" w:eastAsia="宋体" w:cs="宋体"/>
          <w:b/>
          <w:bCs/>
          <w:color w:val="auto"/>
          <w:sz w:val="24"/>
          <w:highlight w:val="none"/>
        </w:rPr>
        <w:t>总则</w:t>
      </w:r>
    </w:p>
    <w:p>
      <w:pPr>
        <w:pStyle w:val="12"/>
        <w:numPr>
          <w:ilvl w:val="1"/>
          <w:numId w:val="1"/>
        </w:numPr>
        <w:tabs>
          <w:tab w:val="left" w:pos="525"/>
        </w:tabs>
        <w:spacing w:before="0" w:line="360" w:lineRule="auto"/>
        <w:jc w:val="left"/>
        <w:rPr>
          <w:rFonts w:ascii="宋体" w:hAnsi="宋体" w:cs="宋体"/>
          <w:color w:val="auto"/>
          <w:kern w:val="2"/>
          <w:highlight w:val="none"/>
          <w:u w:val="single"/>
        </w:rPr>
      </w:pPr>
      <w:r>
        <w:rPr>
          <w:rFonts w:hint="eastAsia" w:ascii="宋体" w:hAnsi="宋体" w:cs="宋体"/>
          <w:color w:val="auto"/>
          <w:kern w:val="2"/>
          <w:highlight w:val="none"/>
        </w:rPr>
        <w:t>本技术文件适用于芜湖新兴铸管有限责任公司</w:t>
      </w:r>
      <w:r>
        <w:rPr>
          <w:rFonts w:hint="eastAsia" w:ascii="宋体" w:hAnsi="宋体" w:cs="宋体"/>
          <w:b/>
          <w:bCs/>
          <w:color w:val="auto"/>
          <w:kern w:val="2"/>
          <w:highlight w:val="none"/>
          <w:u w:val="single"/>
        </w:rPr>
        <w:t>轧钢部小棒加热炉烟气循环燃烧系统改造项目</w:t>
      </w:r>
      <w:r>
        <w:rPr>
          <w:rFonts w:hint="eastAsia" w:ascii="宋体" w:hAnsi="宋体" w:cs="宋体"/>
          <w:color w:val="auto"/>
          <w:kern w:val="2"/>
          <w:highlight w:val="none"/>
          <w:u w:val="single"/>
        </w:rPr>
        <w:t>。</w:t>
      </w:r>
    </w:p>
    <w:p>
      <w:pPr>
        <w:pStyle w:val="12"/>
        <w:numPr>
          <w:ilvl w:val="1"/>
          <w:numId w:val="1"/>
        </w:numPr>
        <w:tabs>
          <w:tab w:val="left" w:pos="525"/>
        </w:tabs>
        <w:spacing w:before="0" w:line="360" w:lineRule="auto"/>
        <w:jc w:val="left"/>
        <w:rPr>
          <w:rFonts w:ascii="宋体" w:hAnsi="宋体" w:cs="宋体"/>
          <w:color w:val="auto"/>
          <w:kern w:val="2"/>
          <w:highlight w:val="none"/>
        </w:rPr>
      </w:pPr>
      <w:r>
        <w:rPr>
          <w:rFonts w:hint="eastAsia" w:ascii="宋体" w:hAnsi="宋体" w:cs="宋体"/>
          <w:color w:val="auto"/>
          <w:kern w:val="2"/>
          <w:highlight w:val="none"/>
        </w:rPr>
        <w:t>本技术文件提出了芜湖新兴铸管有限责任公司轧钢部小棒加热炉烟气循环燃烧系统改造项目的相关技术要求。设备的供货、安装、调试等方面工作均由投标方完成。</w:t>
      </w:r>
      <w:r>
        <w:rPr>
          <w:rFonts w:hint="eastAsia" w:ascii="宋体" w:hAnsi="宋体"/>
          <w:bCs/>
          <w:color w:val="auto"/>
          <w:highlight w:val="none"/>
        </w:rPr>
        <w:t>本项目为设备改造项目，文中所述工艺方案仅供参考，投标方在开标前需充分了解和勘察招标方的现场情况，根据现场实际情况提出更优方案。</w:t>
      </w:r>
    </w:p>
    <w:p>
      <w:pPr>
        <w:pStyle w:val="12"/>
        <w:numPr>
          <w:ilvl w:val="1"/>
          <w:numId w:val="1"/>
        </w:numPr>
        <w:tabs>
          <w:tab w:val="left" w:pos="525"/>
        </w:tabs>
        <w:spacing w:before="0" w:line="360" w:lineRule="auto"/>
        <w:jc w:val="left"/>
        <w:rPr>
          <w:rFonts w:ascii="宋体" w:hAnsi="宋体" w:cs="宋体"/>
          <w:color w:val="auto"/>
          <w:kern w:val="2"/>
          <w:highlight w:val="none"/>
        </w:rPr>
      </w:pPr>
      <w:r>
        <w:rPr>
          <w:rFonts w:hint="eastAsia" w:ascii="宋体" w:hAnsi="宋体" w:cs="宋体"/>
          <w:color w:val="auto"/>
          <w:kern w:val="2"/>
          <w:highlight w:val="none"/>
        </w:rPr>
        <w:t>本技术文提出的是最低限度的技术要求，并未对一切技术细节作出规定，也未充分引述有关标准和规范的条文，投标方应提供符合本技术文件和有关工业标准的优质产品。对国家有关安全、环保等强制性标准，必须满足其要求</w:t>
      </w:r>
      <w:r>
        <w:rPr>
          <w:rFonts w:hint="eastAsia" w:ascii="宋体" w:hAnsi="宋体" w:cs="宋体"/>
          <w:color w:val="auto"/>
          <w:kern w:val="2"/>
          <w:highlight w:val="none"/>
          <w:lang w:eastAsia="zh-CN"/>
        </w:rPr>
        <w:t>。</w:t>
      </w:r>
    </w:p>
    <w:p>
      <w:pPr>
        <w:pStyle w:val="12"/>
        <w:numPr>
          <w:ilvl w:val="1"/>
          <w:numId w:val="1"/>
        </w:numPr>
        <w:tabs>
          <w:tab w:val="left" w:pos="525"/>
        </w:tabs>
        <w:spacing w:before="0" w:line="360" w:lineRule="auto"/>
        <w:jc w:val="left"/>
        <w:rPr>
          <w:rFonts w:ascii="宋体" w:hAnsi="宋体" w:cs="宋体"/>
          <w:color w:val="auto"/>
          <w:kern w:val="2"/>
          <w:highlight w:val="none"/>
        </w:rPr>
      </w:pPr>
      <w:r>
        <w:rPr>
          <w:rFonts w:hint="eastAsia" w:ascii="宋体" w:hAnsi="宋体" w:cs="宋体"/>
          <w:color w:val="auto"/>
          <w:kern w:val="2"/>
          <w:highlight w:val="none"/>
        </w:rPr>
        <w:t>本技术文件所使用的标准，如与投标方所执行的标准不一致时，按较高的标准执行。如果本技术文件与现行使用的有关国家标准以及颁布标准有明显抵触的条文，投标方应及时书面通知招标方进行解决。</w:t>
      </w:r>
    </w:p>
    <w:p>
      <w:pPr>
        <w:pStyle w:val="12"/>
        <w:numPr>
          <w:ilvl w:val="1"/>
          <w:numId w:val="1"/>
        </w:numPr>
        <w:tabs>
          <w:tab w:val="left" w:pos="525"/>
        </w:tabs>
        <w:spacing w:before="0" w:line="360" w:lineRule="auto"/>
        <w:jc w:val="left"/>
        <w:rPr>
          <w:rFonts w:ascii="宋体" w:hAnsi="宋体" w:cs="宋体"/>
          <w:color w:val="auto"/>
          <w:kern w:val="2"/>
          <w:highlight w:val="none"/>
        </w:rPr>
      </w:pPr>
      <w:r>
        <w:rPr>
          <w:rFonts w:hint="eastAsia" w:ascii="宋体" w:hAnsi="宋体" w:cs="宋体"/>
          <w:color w:val="auto"/>
          <w:kern w:val="2"/>
          <w:highlight w:val="none"/>
        </w:rPr>
        <w:t>投标方应提供高质量的设备，这些设备是成熟可靠、技术先进的，投标方具有设备制造、运行成功的经验，提供相关产品鉴定证书。</w:t>
      </w:r>
    </w:p>
    <w:p>
      <w:pPr>
        <w:pStyle w:val="12"/>
        <w:numPr>
          <w:ilvl w:val="1"/>
          <w:numId w:val="1"/>
        </w:numPr>
        <w:tabs>
          <w:tab w:val="left" w:pos="525"/>
        </w:tabs>
        <w:spacing w:before="0" w:line="360" w:lineRule="auto"/>
        <w:jc w:val="left"/>
        <w:rPr>
          <w:rFonts w:ascii="宋体" w:hAnsi="宋体" w:cs="宋体"/>
          <w:color w:val="auto"/>
          <w:kern w:val="2"/>
          <w:highlight w:val="none"/>
        </w:rPr>
      </w:pPr>
      <w:r>
        <w:rPr>
          <w:rFonts w:hint="eastAsia" w:ascii="宋体" w:hAnsi="宋体" w:cs="宋体"/>
          <w:color w:val="auto"/>
          <w:kern w:val="2"/>
          <w:highlight w:val="none"/>
        </w:rPr>
        <w:t>投标方对所设计设备的完整性、可靠性、先进性和技术可行性负责。设备本身及其产生的震动、噪音、粉尘等符合国家相关规范。投标方提供依据供招标方验收。不得采用淘汰名录里的设备。</w:t>
      </w:r>
    </w:p>
    <w:p>
      <w:pPr>
        <w:pStyle w:val="12"/>
        <w:numPr>
          <w:ilvl w:val="1"/>
          <w:numId w:val="1"/>
        </w:numPr>
        <w:tabs>
          <w:tab w:val="left" w:pos="525"/>
        </w:tabs>
        <w:spacing w:before="0" w:line="360" w:lineRule="auto"/>
        <w:jc w:val="left"/>
        <w:rPr>
          <w:rFonts w:ascii="宋体" w:hAnsi="宋体" w:cs="宋体"/>
          <w:color w:val="auto"/>
          <w:kern w:val="2"/>
          <w:highlight w:val="none"/>
        </w:rPr>
      </w:pPr>
      <w:r>
        <w:rPr>
          <w:rFonts w:hint="eastAsia" w:ascii="宋体" w:hAnsi="宋体" w:cs="宋体"/>
          <w:color w:val="auto"/>
          <w:kern w:val="2"/>
          <w:highlight w:val="none"/>
        </w:rPr>
        <w:t>投标方现场施工的安全管理、标准化作业、文明生产必须执行招标方的相关管理制度。</w:t>
      </w:r>
    </w:p>
    <w:p>
      <w:pPr>
        <w:pStyle w:val="12"/>
        <w:numPr>
          <w:ilvl w:val="1"/>
          <w:numId w:val="1"/>
        </w:numPr>
        <w:tabs>
          <w:tab w:val="left" w:pos="525"/>
        </w:tabs>
        <w:spacing w:before="0" w:line="360" w:lineRule="auto"/>
        <w:jc w:val="left"/>
        <w:rPr>
          <w:rFonts w:ascii="宋体" w:hAnsi="宋体" w:cs="宋体"/>
          <w:color w:val="auto"/>
          <w:kern w:val="2"/>
          <w:highlight w:val="none"/>
        </w:rPr>
      </w:pPr>
      <w:r>
        <w:rPr>
          <w:rFonts w:hint="eastAsia" w:ascii="宋体" w:hAnsi="宋体" w:cs="宋体"/>
          <w:color w:val="auto"/>
          <w:kern w:val="2"/>
          <w:highlight w:val="none"/>
        </w:rPr>
        <w:t>投标方所供设备采用的技术不得涉及他人的专利，所有专利涉及到的全部费用均已包含在设备报价中，投标方保证招标方不承担有关设备专利的一切责任。</w:t>
      </w:r>
    </w:p>
    <w:p>
      <w:pPr>
        <w:pStyle w:val="12"/>
        <w:numPr>
          <w:ilvl w:val="1"/>
          <w:numId w:val="1"/>
        </w:numPr>
        <w:tabs>
          <w:tab w:val="left" w:pos="525"/>
        </w:tabs>
        <w:spacing w:before="0" w:line="360" w:lineRule="auto"/>
        <w:jc w:val="left"/>
        <w:rPr>
          <w:rFonts w:ascii="宋体" w:hAnsi="宋体" w:cs="宋体"/>
          <w:color w:val="auto"/>
          <w:kern w:val="2"/>
          <w:highlight w:val="none"/>
        </w:rPr>
      </w:pPr>
      <w:r>
        <w:rPr>
          <w:rFonts w:hint="eastAsia" w:ascii="宋体" w:hAnsi="宋体" w:cs="宋体"/>
          <w:color w:val="auto"/>
          <w:kern w:val="2"/>
          <w:highlight w:val="none"/>
        </w:rPr>
        <w:t>如果投标方没有以书面形式对本技术文件的条文提出异议，则意味着投标方提供的设备完全符合本技术文件的要求。如有异议，应在投标书中以“对技术文件的意见和同技术文件的差异”为标题的专门章节中加以详细描述。</w:t>
      </w:r>
    </w:p>
    <w:p>
      <w:pPr>
        <w:rPr>
          <w:rFonts w:hint="eastAsia" w:ascii="宋体" w:hAnsi="宋体" w:cs="宋体"/>
          <w:color w:val="auto"/>
          <w:kern w:val="2"/>
          <w:highlight w:val="none"/>
        </w:rPr>
      </w:pPr>
    </w:p>
    <w:p>
      <w:pPr>
        <w:pStyle w:val="2"/>
      </w:pPr>
    </w:p>
    <w:p>
      <w:pPr>
        <w:widowControl w:val="0"/>
        <w:numPr>
          <w:ilvl w:val="0"/>
          <w:numId w:val="1"/>
        </w:numPr>
        <w:adjustRightInd/>
        <w:snapToGrid/>
        <w:spacing w:beforeLines="50" w:after="0" w:line="360" w:lineRule="auto"/>
        <w:jc w:val="both"/>
        <w:rPr>
          <w:rFonts w:ascii="宋体" w:hAnsi="宋体" w:eastAsia="宋体" w:cs="宋体"/>
          <w:b/>
          <w:bCs/>
          <w:color w:val="auto"/>
          <w:sz w:val="24"/>
          <w:highlight w:val="none"/>
        </w:rPr>
      </w:pPr>
      <w:r>
        <w:rPr>
          <w:rFonts w:hint="eastAsia" w:ascii="宋体" w:hAnsi="宋体" w:eastAsia="宋体" w:cs="宋体"/>
          <w:b/>
          <w:bCs/>
          <w:color w:val="auto"/>
          <w:sz w:val="24"/>
          <w:highlight w:val="none"/>
        </w:rPr>
        <w:t>招标内容</w:t>
      </w:r>
    </w:p>
    <w:tbl>
      <w:tblPr>
        <w:tblStyle w:val="9"/>
        <w:tblW w:w="8316" w:type="dxa"/>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537"/>
        <w:gridCol w:w="2953"/>
        <w:gridCol w:w="537"/>
        <w:gridCol w:w="536"/>
        <w:gridCol w:w="375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cantSplit/>
          <w:trHeight w:val="468" w:hRule="atLeast"/>
        </w:trPr>
        <w:tc>
          <w:tcPr>
            <w:tcW w:w="537" w:type="dxa"/>
            <w:tcBorders>
              <w:top w:val="single" w:color="auto" w:sz="4" w:space="0"/>
              <w:left w:val="single" w:color="auto" w:sz="4" w:space="0"/>
              <w:bottom w:val="single" w:color="auto" w:sz="6" w:space="0"/>
              <w:right w:val="single" w:color="auto" w:sz="6" w:space="0"/>
            </w:tcBorders>
            <w:vAlign w:val="center"/>
          </w:tcPr>
          <w:p>
            <w:pPr>
              <w:spacing w:after="0"/>
              <w:jc w:val="center"/>
              <w:textAlignment w:val="baseline"/>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953" w:type="dxa"/>
            <w:tcBorders>
              <w:top w:val="single" w:color="auto" w:sz="4" w:space="0"/>
              <w:left w:val="single" w:color="auto" w:sz="4" w:space="0"/>
              <w:bottom w:val="single" w:color="auto" w:sz="6" w:space="0"/>
              <w:right w:val="single" w:color="auto" w:sz="6" w:space="0"/>
            </w:tcBorders>
            <w:vAlign w:val="center"/>
          </w:tcPr>
          <w:p>
            <w:pPr>
              <w:spacing w:after="0"/>
              <w:jc w:val="center"/>
              <w:textAlignment w:val="baseline"/>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招标项目</w:t>
            </w:r>
          </w:p>
        </w:tc>
        <w:tc>
          <w:tcPr>
            <w:tcW w:w="537" w:type="dxa"/>
            <w:tcBorders>
              <w:top w:val="single" w:color="auto" w:sz="4" w:space="0"/>
              <w:left w:val="single" w:color="auto" w:sz="6" w:space="0"/>
              <w:bottom w:val="single" w:color="auto" w:sz="6" w:space="0"/>
              <w:right w:val="single" w:color="auto" w:sz="6" w:space="0"/>
            </w:tcBorders>
            <w:vAlign w:val="center"/>
          </w:tcPr>
          <w:p>
            <w:pPr>
              <w:spacing w:after="0"/>
              <w:ind w:left="44" w:leftChars="20"/>
              <w:jc w:val="center"/>
              <w:textAlignment w:val="baseline"/>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536" w:type="dxa"/>
            <w:tcBorders>
              <w:top w:val="single" w:color="auto" w:sz="4" w:space="0"/>
              <w:left w:val="single" w:color="auto" w:sz="6" w:space="0"/>
              <w:bottom w:val="single" w:color="auto" w:sz="6" w:space="0"/>
              <w:right w:val="single" w:color="auto" w:sz="6" w:space="0"/>
            </w:tcBorders>
            <w:vAlign w:val="center"/>
          </w:tcPr>
          <w:p>
            <w:pPr>
              <w:spacing w:after="0"/>
              <w:ind w:left="44" w:leftChars="20"/>
              <w:jc w:val="center"/>
              <w:textAlignment w:val="baseline"/>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3753" w:type="dxa"/>
            <w:tcBorders>
              <w:top w:val="single" w:color="auto" w:sz="4" w:space="0"/>
              <w:left w:val="single" w:color="auto" w:sz="6" w:space="0"/>
              <w:bottom w:val="single" w:color="auto" w:sz="6" w:space="0"/>
              <w:right w:val="single" w:color="auto" w:sz="4" w:space="0"/>
            </w:tcBorders>
            <w:vAlign w:val="center"/>
          </w:tcPr>
          <w:p>
            <w:pPr>
              <w:spacing w:after="0"/>
              <w:ind w:left="44" w:leftChars="20"/>
              <w:jc w:val="center"/>
              <w:textAlignment w:val="baseline"/>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Ex>
        <w:trPr>
          <w:cantSplit/>
          <w:trHeight w:val="652" w:hRule="atLeast"/>
        </w:trPr>
        <w:tc>
          <w:tcPr>
            <w:tcW w:w="537" w:type="dxa"/>
            <w:tcBorders>
              <w:top w:val="single" w:color="auto" w:sz="6" w:space="0"/>
              <w:left w:val="single" w:color="auto" w:sz="4" w:space="0"/>
              <w:bottom w:val="single" w:color="auto" w:sz="6" w:space="0"/>
              <w:right w:val="single" w:color="auto" w:sz="6" w:space="0"/>
            </w:tcBorders>
            <w:vAlign w:val="center"/>
          </w:tcPr>
          <w:p>
            <w:pPr>
              <w:spacing w:after="0"/>
              <w:jc w:val="center"/>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953" w:type="dxa"/>
            <w:tcBorders>
              <w:top w:val="single" w:color="auto" w:sz="6" w:space="0"/>
              <w:left w:val="single" w:color="auto" w:sz="4" w:space="0"/>
              <w:bottom w:val="single" w:color="auto" w:sz="6" w:space="0"/>
              <w:right w:val="single" w:color="auto" w:sz="6" w:space="0"/>
            </w:tcBorders>
            <w:vAlign w:val="center"/>
          </w:tcPr>
          <w:p>
            <w:pPr>
              <w:spacing w:after="0"/>
              <w:jc w:val="left"/>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轧钢部小棒加热炉烟气循环燃烧系统改造</w:t>
            </w:r>
          </w:p>
        </w:tc>
        <w:tc>
          <w:tcPr>
            <w:tcW w:w="537" w:type="dxa"/>
            <w:tcBorders>
              <w:top w:val="single" w:color="auto" w:sz="6" w:space="0"/>
              <w:left w:val="single" w:color="auto" w:sz="6" w:space="0"/>
              <w:bottom w:val="single" w:color="auto" w:sz="6" w:space="0"/>
              <w:right w:val="single" w:color="auto" w:sz="6" w:space="0"/>
            </w:tcBorders>
            <w:vAlign w:val="center"/>
          </w:tcPr>
          <w:p>
            <w:pPr>
              <w:spacing w:after="0"/>
              <w:ind w:left="44" w:leftChars="20"/>
              <w:jc w:val="center"/>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6" w:type="dxa"/>
            <w:tcBorders>
              <w:top w:val="single" w:color="auto" w:sz="6" w:space="0"/>
              <w:left w:val="single" w:color="auto" w:sz="6" w:space="0"/>
              <w:bottom w:val="single" w:color="auto" w:sz="6" w:space="0"/>
              <w:right w:val="single" w:color="auto" w:sz="6" w:space="0"/>
            </w:tcBorders>
            <w:vAlign w:val="center"/>
          </w:tcPr>
          <w:p>
            <w:pPr>
              <w:spacing w:after="0"/>
              <w:ind w:left="44" w:leftChars="20"/>
              <w:jc w:val="center"/>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3753" w:type="dxa"/>
            <w:tcBorders>
              <w:top w:val="single" w:color="auto" w:sz="6" w:space="0"/>
              <w:left w:val="single" w:color="auto" w:sz="6" w:space="0"/>
              <w:bottom w:val="single" w:color="auto" w:sz="6" w:space="0"/>
              <w:right w:val="single" w:color="auto" w:sz="4" w:space="0"/>
            </w:tcBorders>
            <w:vAlign w:val="center"/>
          </w:tcPr>
          <w:p>
            <w:pPr>
              <w:spacing w:after="0"/>
              <w:jc w:val="center"/>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设备</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供货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安装和调试</w:t>
            </w:r>
          </w:p>
        </w:tc>
      </w:tr>
    </w:tbl>
    <w:p>
      <w:pPr>
        <w:widowControl w:val="0"/>
        <w:numPr>
          <w:ilvl w:val="0"/>
          <w:numId w:val="1"/>
        </w:numPr>
        <w:adjustRightInd/>
        <w:snapToGrid/>
        <w:spacing w:beforeLines="50" w:after="0" w:line="360" w:lineRule="auto"/>
        <w:jc w:val="both"/>
        <w:rPr>
          <w:rFonts w:ascii="宋体" w:hAnsi="宋体" w:eastAsia="宋体" w:cs="宋体"/>
          <w:b/>
          <w:bCs/>
          <w:color w:val="auto"/>
          <w:sz w:val="24"/>
          <w:highlight w:val="none"/>
        </w:rPr>
      </w:pPr>
      <w:r>
        <w:rPr>
          <w:rFonts w:hint="eastAsia" w:ascii="宋体" w:hAnsi="宋体" w:eastAsia="宋体" w:cs="宋体"/>
          <w:b/>
          <w:bCs/>
          <w:color w:val="auto"/>
          <w:sz w:val="24"/>
          <w:highlight w:val="none"/>
        </w:rPr>
        <w:t>设计条件及要求</w:t>
      </w:r>
    </w:p>
    <w:p>
      <w:pPr>
        <w:widowControl w:val="0"/>
        <w:numPr>
          <w:ilvl w:val="1"/>
          <w:numId w:val="2"/>
        </w:numPr>
        <w:adjustRightInd/>
        <w:snapToGrid/>
        <w:spacing w:after="0" w:line="360" w:lineRule="auto"/>
        <w:jc w:val="both"/>
        <w:rPr>
          <w:rFonts w:hint="eastAsia" w:ascii="宋体" w:hAnsi="宋体" w:eastAsia="宋体" w:cs="宋体"/>
          <w:b/>
          <w:bCs/>
          <w:color w:val="auto"/>
          <w:sz w:val="24"/>
          <w:highlight w:val="none"/>
        </w:rPr>
      </w:pPr>
      <w:bookmarkStart w:id="3" w:name="_Toc447"/>
      <w:bookmarkStart w:id="4" w:name="_Toc12564"/>
      <w:bookmarkStart w:id="5" w:name="_Toc13937"/>
      <w:bookmarkStart w:id="6" w:name="_Toc31413"/>
      <w:bookmarkStart w:id="7" w:name="_Toc9000750"/>
      <w:bookmarkStart w:id="8" w:name="_Toc3376"/>
      <w:r>
        <w:rPr>
          <w:rFonts w:hint="eastAsia" w:ascii="宋体" w:hAnsi="宋体" w:eastAsia="宋体" w:cs="宋体"/>
          <w:b/>
          <w:bCs/>
          <w:color w:val="auto"/>
          <w:sz w:val="24"/>
          <w:highlight w:val="none"/>
        </w:rPr>
        <w:t>加热炉基本情况</w:t>
      </w:r>
      <w:bookmarkEnd w:id="3"/>
      <w:bookmarkEnd w:id="4"/>
      <w:bookmarkEnd w:id="5"/>
      <w:bookmarkEnd w:id="6"/>
      <w:bookmarkEnd w:id="7"/>
      <w:bookmarkEnd w:id="8"/>
    </w:p>
    <w:p>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加热炉基本参数</w:t>
      </w:r>
    </w:p>
    <w:tbl>
      <w:tblPr>
        <w:tblStyle w:val="9"/>
        <w:tblW w:w="8522" w:type="dxa"/>
        <w:jc w:val="center"/>
        <w:tblInd w:w="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
      <w:tblGrid>
        <w:gridCol w:w="2565"/>
        <w:gridCol w:w="1530"/>
        <w:gridCol w:w="1501"/>
        <w:gridCol w:w="1666"/>
        <w:gridCol w:w="1260"/>
      </w:tblGrid>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565" w:type="dxa"/>
            <w:tcBorders>
              <w:right w:val="single" w:color="auto" w:sz="4" w:space="0"/>
            </w:tcBorders>
            <w:vAlign w:val="center"/>
          </w:tcPr>
          <w:p>
            <w:pPr>
              <w:spacing w:line="240" w:lineRule="auto"/>
              <w:ind w:firstLine="0"/>
              <w:jc w:val="center"/>
              <w:rPr>
                <w:rFonts w:ascii="Times New Roman"/>
                <w:snapToGrid w:val="0"/>
                <w:kern w:val="0"/>
                <w:sz w:val="21"/>
                <w:szCs w:val="21"/>
              </w:rPr>
            </w:pPr>
            <w:r>
              <w:rPr>
                <w:rFonts w:ascii="Times New Roman"/>
                <w:snapToGrid w:val="0"/>
                <w:kern w:val="0"/>
                <w:sz w:val="21"/>
                <w:szCs w:val="21"/>
              </w:rPr>
              <w:t>名称</w:t>
            </w:r>
          </w:p>
        </w:tc>
        <w:tc>
          <w:tcPr>
            <w:tcW w:w="1530" w:type="dxa"/>
            <w:tcBorders>
              <w:right w:val="single" w:color="auto" w:sz="4" w:space="0"/>
            </w:tcBorders>
            <w:vAlign w:val="center"/>
          </w:tcPr>
          <w:p>
            <w:pPr>
              <w:spacing w:line="240" w:lineRule="auto"/>
              <w:ind w:firstLine="0"/>
              <w:jc w:val="center"/>
              <w:rPr>
                <w:rFonts w:ascii="Times New Roman"/>
                <w:snapToGrid w:val="0"/>
                <w:kern w:val="0"/>
                <w:sz w:val="21"/>
                <w:szCs w:val="21"/>
              </w:rPr>
            </w:pPr>
            <w:r>
              <w:rPr>
                <w:rFonts w:ascii="Times New Roman"/>
                <w:snapToGrid w:val="0"/>
                <w:kern w:val="0"/>
                <w:sz w:val="21"/>
                <w:szCs w:val="21"/>
              </w:rPr>
              <w:t>一加热段</w:t>
            </w:r>
          </w:p>
        </w:tc>
        <w:tc>
          <w:tcPr>
            <w:tcW w:w="1501" w:type="dxa"/>
            <w:vAlign w:val="center"/>
          </w:tcPr>
          <w:p>
            <w:pPr>
              <w:spacing w:line="240" w:lineRule="auto"/>
              <w:ind w:firstLine="0"/>
              <w:jc w:val="center"/>
              <w:rPr>
                <w:rFonts w:ascii="Times New Roman"/>
                <w:snapToGrid w:val="0"/>
                <w:kern w:val="0"/>
                <w:sz w:val="21"/>
                <w:szCs w:val="21"/>
              </w:rPr>
            </w:pPr>
            <w:r>
              <w:rPr>
                <w:rFonts w:hint="eastAsia" w:ascii="Times New Roman"/>
                <w:snapToGrid w:val="0"/>
                <w:kern w:val="0"/>
                <w:sz w:val="21"/>
                <w:szCs w:val="21"/>
              </w:rPr>
              <w:t>二</w:t>
            </w:r>
            <w:r>
              <w:rPr>
                <w:rFonts w:ascii="Times New Roman"/>
                <w:snapToGrid w:val="0"/>
                <w:kern w:val="0"/>
                <w:sz w:val="21"/>
                <w:szCs w:val="21"/>
              </w:rPr>
              <w:t>加热段</w:t>
            </w:r>
          </w:p>
        </w:tc>
        <w:tc>
          <w:tcPr>
            <w:tcW w:w="1666" w:type="dxa"/>
            <w:vAlign w:val="center"/>
          </w:tcPr>
          <w:p>
            <w:pPr>
              <w:spacing w:line="240" w:lineRule="auto"/>
              <w:ind w:firstLine="0"/>
              <w:jc w:val="center"/>
              <w:rPr>
                <w:rFonts w:hint="eastAsia" w:ascii="Times New Roman"/>
                <w:snapToGrid w:val="0"/>
                <w:kern w:val="0"/>
                <w:sz w:val="21"/>
                <w:szCs w:val="21"/>
              </w:rPr>
            </w:pPr>
            <w:r>
              <w:rPr>
                <w:rFonts w:hint="eastAsia" w:ascii="Times New Roman"/>
                <w:snapToGrid w:val="0"/>
                <w:kern w:val="0"/>
                <w:sz w:val="21"/>
                <w:szCs w:val="21"/>
              </w:rPr>
              <w:t>均热段</w:t>
            </w:r>
          </w:p>
        </w:tc>
        <w:tc>
          <w:tcPr>
            <w:tcW w:w="1260" w:type="dxa"/>
            <w:vAlign w:val="center"/>
          </w:tcPr>
          <w:p>
            <w:pPr>
              <w:spacing w:line="240" w:lineRule="auto"/>
              <w:ind w:firstLine="0"/>
              <w:jc w:val="center"/>
              <w:rPr>
                <w:rFonts w:ascii="Times New Roman"/>
                <w:snapToGrid w:val="0"/>
                <w:kern w:val="0"/>
                <w:sz w:val="21"/>
                <w:szCs w:val="21"/>
              </w:rPr>
            </w:pPr>
            <w:r>
              <w:rPr>
                <w:rFonts w:ascii="Times New Roman"/>
                <w:snapToGrid w:val="0"/>
                <w:kern w:val="0"/>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185" w:hRule="atLeast"/>
          <w:jc w:val="center"/>
        </w:trPr>
        <w:tc>
          <w:tcPr>
            <w:tcW w:w="2565" w:type="dxa"/>
            <w:tcBorders>
              <w:right w:val="single" w:color="auto" w:sz="4" w:space="0"/>
            </w:tcBorders>
            <w:vAlign w:val="center"/>
          </w:tcPr>
          <w:p>
            <w:pPr>
              <w:spacing w:line="240" w:lineRule="auto"/>
              <w:ind w:firstLine="0"/>
              <w:jc w:val="center"/>
              <w:rPr>
                <w:rFonts w:ascii="Times New Roman"/>
                <w:snapToGrid w:val="0"/>
                <w:kern w:val="0"/>
                <w:sz w:val="21"/>
                <w:szCs w:val="21"/>
              </w:rPr>
            </w:pPr>
            <w:r>
              <w:rPr>
                <w:rFonts w:hint="eastAsia" w:ascii="Times New Roman"/>
                <w:snapToGrid w:val="0"/>
                <w:kern w:val="0"/>
                <w:sz w:val="21"/>
                <w:szCs w:val="21"/>
              </w:rPr>
              <w:t>煤气三通换向阀</w:t>
            </w:r>
          </w:p>
        </w:tc>
        <w:tc>
          <w:tcPr>
            <w:tcW w:w="1530" w:type="dxa"/>
            <w:tcBorders>
              <w:right w:val="single" w:color="auto" w:sz="4" w:space="0"/>
            </w:tcBorders>
            <w:vAlign w:val="center"/>
          </w:tcPr>
          <w:p>
            <w:pPr>
              <w:spacing w:line="240" w:lineRule="auto"/>
              <w:ind w:firstLine="0"/>
              <w:jc w:val="center"/>
              <w:rPr>
                <w:rFonts w:ascii="Times New Roman"/>
                <w:snapToGrid w:val="0"/>
                <w:kern w:val="0"/>
                <w:sz w:val="21"/>
                <w:szCs w:val="21"/>
              </w:rPr>
            </w:pPr>
            <w:r>
              <w:rPr>
                <w:rFonts w:ascii="Times New Roman"/>
                <w:snapToGrid w:val="0"/>
                <w:kern w:val="0"/>
                <w:sz w:val="21"/>
                <w:szCs w:val="21"/>
              </w:rPr>
              <w:t>DN800</w:t>
            </w:r>
          </w:p>
        </w:tc>
        <w:tc>
          <w:tcPr>
            <w:tcW w:w="1501" w:type="dxa"/>
            <w:vAlign w:val="center"/>
          </w:tcPr>
          <w:p>
            <w:pPr>
              <w:spacing w:line="240" w:lineRule="auto"/>
              <w:ind w:firstLine="0"/>
              <w:jc w:val="center"/>
              <w:rPr>
                <w:rFonts w:ascii="Times New Roman"/>
                <w:snapToGrid w:val="0"/>
                <w:kern w:val="0"/>
                <w:sz w:val="21"/>
                <w:szCs w:val="21"/>
              </w:rPr>
            </w:pPr>
            <w:r>
              <w:rPr>
                <w:rFonts w:ascii="Times New Roman"/>
                <w:snapToGrid w:val="0"/>
                <w:kern w:val="0"/>
                <w:sz w:val="21"/>
                <w:szCs w:val="21"/>
              </w:rPr>
              <w:t>DN900</w:t>
            </w:r>
          </w:p>
        </w:tc>
        <w:tc>
          <w:tcPr>
            <w:tcW w:w="1666" w:type="dxa"/>
            <w:vAlign w:val="center"/>
          </w:tcPr>
          <w:p>
            <w:pPr>
              <w:spacing w:line="240" w:lineRule="auto"/>
              <w:ind w:firstLine="0"/>
              <w:jc w:val="center"/>
              <w:rPr>
                <w:rFonts w:ascii="Times New Roman"/>
                <w:snapToGrid w:val="0"/>
                <w:kern w:val="0"/>
                <w:sz w:val="21"/>
                <w:szCs w:val="21"/>
              </w:rPr>
            </w:pPr>
            <w:r>
              <w:rPr>
                <w:rFonts w:ascii="Times New Roman"/>
                <w:snapToGrid w:val="0"/>
                <w:kern w:val="0"/>
                <w:sz w:val="21"/>
                <w:szCs w:val="21"/>
              </w:rPr>
              <w:t>DN800</w:t>
            </w:r>
          </w:p>
        </w:tc>
        <w:tc>
          <w:tcPr>
            <w:tcW w:w="1260" w:type="dxa"/>
            <w:vAlign w:val="center"/>
          </w:tcPr>
          <w:p>
            <w:pPr>
              <w:spacing w:line="240" w:lineRule="auto"/>
              <w:ind w:firstLine="0"/>
              <w:jc w:val="center"/>
              <w:rPr>
                <w:rFonts w:hint="eastAsia" w:ascii="Times New Roman"/>
                <w:snapToGrid w:val="0"/>
                <w:kern w:val="0"/>
                <w:sz w:val="21"/>
                <w:szCs w:val="21"/>
              </w:rPr>
            </w:pPr>
            <w:r>
              <w:rPr>
                <w:rFonts w:ascii="Times New Roman"/>
                <w:snapToGrid w:val="0"/>
                <w:kern w:val="0"/>
                <w:sz w:val="21"/>
                <w:szCs w:val="21"/>
              </w:rPr>
              <w:t>每段两台</w:t>
            </w:r>
          </w:p>
        </w:tc>
      </w:tr>
      <w:tr>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565" w:type="dxa"/>
            <w:tcBorders>
              <w:right w:val="single" w:color="auto" w:sz="4" w:space="0"/>
            </w:tcBorders>
            <w:vAlign w:val="center"/>
          </w:tcPr>
          <w:p>
            <w:pPr>
              <w:spacing w:line="240" w:lineRule="auto"/>
              <w:ind w:firstLine="0"/>
              <w:jc w:val="center"/>
              <w:rPr>
                <w:rFonts w:hint="eastAsia" w:ascii="Times New Roman"/>
                <w:snapToGrid w:val="0"/>
                <w:kern w:val="0"/>
                <w:sz w:val="21"/>
                <w:szCs w:val="21"/>
              </w:rPr>
            </w:pPr>
            <w:r>
              <w:rPr>
                <w:rFonts w:hint="eastAsia" w:ascii="Times New Roman"/>
                <w:snapToGrid w:val="0"/>
                <w:kern w:val="0"/>
                <w:sz w:val="21"/>
                <w:szCs w:val="21"/>
              </w:rPr>
              <w:t>煤气集管</w:t>
            </w:r>
          </w:p>
        </w:tc>
        <w:tc>
          <w:tcPr>
            <w:tcW w:w="1530" w:type="dxa"/>
            <w:tcBorders>
              <w:right w:val="single" w:color="auto" w:sz="4" w:space="0"/>
            </w:tcBorders>
            <w:vAlign w:val="center"/>
          </w:tcPr>
          <w:p>
            <w:pPr>
              <w:spacing w:line="240" w:lineRule="auto"/>
              <w:ind w:firstLine="0"/>
              <w:jc w:val="center"/>
              <w:rPr>
                <w:rFonts w:ascii="Times New Roman"/>
                <w:snapToGrid w:val="0"/>
                <w:kern w:val="0"/>
                <w:sz w:val="21"/>
                <w:szCs w:val="21"/>
              </w:rPr>
            </w:pPr>
            <w:r>
              <w:rPr>
                <w:rFonts w:ascii="Times New Roman"/>
                <w:snapToGrid w:val="0"/>
                <w:kern w:val="0"/>
                <w:sz w:val="21"/>
                <w:szCs w:val="21"/>
              </w:rPr>
              <w:t>DN800/450</w:t>
            </w:r>
          </w:p>
        </w:tc>
        <w:tc>
          <w:tcPr>
            <w:tcW w:w="1501" w:type="dxa"/>
            <w:vAlign w:val="center"/>
          </w:tcPr>
          <w:p>
            <w:pPr>
              <w:spacing w:line="240" w:lineRule="auto"/>
              <w:ind w:firstLine="0"/>
              <w:jc w:val="center"/>
              <w:rPr>
                <w:rFonts w:hint="eastAsia" w:ascii="Times New Roman"/>
                <w:snapToGrid w:val="0"/>
                <w:kern w:val="0"/>
                <w:sz w:val="21"/>
                <w:szCs w:val="21"/>
              </w:rPr>
            </w:pPr>
            <w:r>
              <w:rPr>
                <w:rFonts w:ascii="Times New Roman"/>
                <w:snapToGrid w:val="0"/>
                <w:kern w:val="0"/>
                <w:sz w:val="21"/>
                <w:szCs w:val="21"/>
              </w:rPr>
              <w:t>DN900</w:t>
            </w:r>
            <w:r>
              <w:rPr>
                <w:rFonts w:hint="eastAsia" w:ascii="Times New Roman"/>
                <w:snapToGrid w:val="0"/>
                <w:kern w:val="0"/>
                <w:sz w:val="21"/>
                <w:szCs w:val="21"/>
              </w:rPr>
              <w:t>/</w:t>
            </w:r>
            <w:r>
              <w:rPr>
                <w:rFonts w:ascii="Times New Roman"/>
                <w:snapToGrid w:val="0"/>
                <w:kern w:val="0"/>
                <w:sz w:val="21"/>
                <w:szCs w:val="21"/>
              </w:rPr>
              <w:t>450</w:t>
            </w:r>
          </w:p>
        </w:tc>
        <w:tc>
          <w:tcPr>
            <w:tcW w:w="1666" w:type="dxa"/>
            <w:vAlign w:val="center"/>
          </w:tcPr>
          <w:p>
            <w:pPr>
              <w:spacing w:line="240" w:lineRule="auto"/>
              <w:ind w:firstLine="0"/>
              <w:jc w:val="center"/>
              <w:rPr>
                <w:rFonts w:ascii="Times New Roman"/>
                <w:snapToGrid w:val="0"/>
                <w:kern w:val="0"/>
                <w:sz w:val="21"/>
                <w:szCs w:val="21"/>
              </w:rPr>
            </w:pPr>
            <w:r>
              <w:rPr>
                <w:rFonts w:ascii="Times New Roman"/>
                <w:snapToGrid w:val="0"/>
                <w:kern w:val="0"/>
                <w:sz w:val="21"/>
                <w:szCs w:val="21"/>
              </w:rPr>
              <w:t>DN800/450</w:t>
            </w:r>
          </w:p>
        </w:tc>
        <w:tc>
          <w:tcPr>
            <w:tcW w:w="1260" w:type="dxa"/>
            <w:vAlign w:val="center"/>
          </w:tcPr>
          <w:p>
            <w:pPr>
              <w:spacing w:line="240" w:lineRule="auto"/>
              <w:ind w:firstLine="0"/>
              <w:jc w:val="center"/>
              <w:rPr>
                <w:rFonts w:ascii="Times New Roman"/>
                <w:snapToGrid w:val="0"/>
                <w:kern w:val="0"/>
                <w:sz w:val="21"/>
                <w:szCs w:val="21"/>
              </w:rPr>
            </w:pPr>
          </w:p>
        </w:tc>
      </w:tr>
    </w:tbl>
    <w:p>
      <w:pPr>
        <w:keepNext w:val="0"/>
        <w:keepLines w:val="0"/>
        <w:pageBreakBefore w:val="0"/>
        <w:widowControl/>
        <w:kinsoku/>
        <w:wordWrap/>
        <w:overflowPunct/>
        <w:topLinePunct w:val="0"/>
        <w:autoSpaceDE w:val="0"/>
        <w:autoSpaceDN w:val="0"/>
        <w:bidi w:val="0"/>
        <w:adjustRightInd w:val="0"/>
        <w:snapToGrid/>
        <w:spacing w:after="0" w:line="360" w:lineRule="auto"/>
        <w:ind w:left="0" w:leftChars="0" w:right="0" w:rightChars="0" w:firstLine="480" w:firstLineChars="200"/>
        <w:jc w:val="left"/>
        <w:textAlignment w:val="auto"/>
        <w:outlineLvl w:val="9"/>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加热炉正常工作时换向周期</w:t>
      </w:r>
      <w:r>
        <w:rPr>
          <w:rFonts w:hint="eastAsia" w:ascii="宋体" w:hAnsi="宋体" w:eastAsia="宋体" w:cs="宋体"/>
          <w:color w:val="000000"/>
          <w:kern w:val="0"/>
          <w:sz w:val="24"/>
          <w:szCs w:val="24"/>
          <w:lang w:val="en-US" w:eastAsia="zh-CN"/>
        </w:rPr>
        <w:t>60</w:t>
      </w:r>
      <w:r>
        <w:rPr>
          <w:rFonts w:hint="eastAsia" w:ascii="宋体" w:hAnsi="宋体" w:eastAsia="宋体" w:cs="宋体"/>
          <w:color w:val="000000"/>
          <w:kern w:val="0"/>
          <w:sz w:val="24"/>
          <w:szCs w:val="24"/>
        </w:rPr>
        <w:t>s左右，以时间为控制参数，排烟温度超过180℃会强制换向，换向阀延迟时间约为1</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 xml:space="preserve"> s</w:t>
      </w:r>
      <w:r>
        <w:rPr>
          <w:rFonts w:hint="eastAsia" w:ascii="宋体" w:hAnsi="宋体" w:eastAsia="宋体" w:cs="宋体"/>
          <w:color w:val="000000"/>
          <w:kern w:val="0"/>
          <w:sz w:val="24"/>
          <w:szCs w:val="24"/>
          <w:lang w:eastAsia="zh-CN"/>
        </w:rPr>
        <w:t>。</w:t>
      </w:r>
    </w:p>
    <w:p>
      <w:pPr>
        <w:keepNext w:val="0"/>
        <w:keepLines w:val="0"/>
        <w:pageBreakBefore w:val="0"/>
        <w:widowControl/>
        <w:kinsoku/>
        <w:wordWrap/>
        <w:overflowPunct/>
        <w:topLinePunct w:val="0"/>
        <w:autoSpaceDE w:val="0"/>
        <w:autoSpaceDN w:val="0"/>
        <w:bidi w:val="0"/>
        <w:adjustRightInd w:val="0"/>
        <w:snapToGrid/>
        <w:spacing w:after="0" w:line="360" w:lineRule="auto"/>
        <w:ind w:left="0" w:leftChars="0" w:right="0" w:rightChars="0" w:firstLine="480" w:firstLineChars="200"/>
        <w:jc w:val="left"/>
        <w:textAlignment w:val="auto"/>
        <w:outlineLvl w:val="9"/>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加热炉共采用</w:t>
      </w:r>
      <w:r>
        <w:rPr>
          <w:rFonts w:hint="eastAsia" w:ascii="宋体" w:hAnsi="宋体" w:eastAsia="宋体" w:cs="宋体"/>
          <w:color w:val="000000"/>
          <w:kern w:val="0"/>
          <w:sz w:val="24"/>
          <w:szCs w:val="24"/>
          <w:lang w:val="en-US" w:eastAsia="zh-CN"/>
        </w:rPr>
        <w:t>12台</w:t>
      </w:r>
      <w:r>
        <w:rPr>
          <w:rFonts w:hint="eastAsia" w:ascii="宋体" w:hAnsi="宋体" w:eastAsia="宋体" w:cs="宋体"/>
          <w:color w:val="000000"/>
          <w:kern w:val="0"/>
          <w:sz w:val="24"/>
          <w:szCs w:val="24"/>
          <w:lang w:eastAsia="zh-CN"/>
        </w:rPr>
        <w:t>换向装置，采用分段分侧集中换向方式。全炉共包含</w:t>
      </w:r>
      <w:r>
        <w:rPr>
          <w:rFonts w:hint="eastAsia" w:ascii="宋体" w:hAnsi="宋体" w:eastAsia="宋体" w:cs="宋体"/>
          <w:color w:val="000000"/>
          <w:kern w:val="0"/>
          <w:sz w:val="24"/>
          <w:szCs w:val="24"/>
          <w:lang w:val="en-US" w:eastAsia="zh-CN"/>
        </w:rPr>
        <w:t>6台</w:t>
      </w:r>
      <w:r>
        <w:rPr>
          <w:rFonts w:hint="eastAsia" w:ascii="宋体" w:hAnsi="宋体" w:eastAsia="宋体" w:cs="宋体"/>
          <w:color w:val="000000"/>
          <w:kern w:val="0"/>
          <w:sz w:val="24"/>
          <w:szCs w:val="24"/>
          <w:lang w:eastAsia="zh-CN"/>
        </w:rPr>
        <w:t>煤气换向阀、</w:t>
      </w:r>
      <w:r>
        <w:rPr>
          <w:rFonts w:hint="eastAsia" w:ascii="宋体" w:hAnsi="宋体" w:eastAsia="宋体" w:cs="宋体"/>
          <w:color w:val="000000"/>
          <w:kern w:val="0"/>
          <w:sz w:val="24"/>
          <w:szCs w:val="24"/>
          <w:lang w:val="en-US" w:eastAsia="zh-CN"/>
        </w:rPr>
        <w:t>6台</w:t>
      </w:r>
      <w:r>
        <w:rPr>
          <w:rFonts w:hint="eastAsia" w:ascii="宋体" w:hAnsi="宋体" w:eastAsia="宋体" w:cs="宋体"/>
          <w:color w:val="000000"/>
          <w:kern w:val="0"/>
          <w:sz w:val="24"/>
          <w:szCs w:val="24"/>
          <w:lang w:eastAsia="zh-CN"/>
        </w:rPr>
        <w:t>空气换向阀。</w:t>
      </w:r>
    </w:p>
    <w:p>
      <w:pPr>
        <w:keepNext w:val="0"/>
        <w:keepLines w:val="0"/>
        <w:pageBreakBefore w:val="0"/>
        <w:widowControl w:val="0"/>
        <w:numPr>
          <w:ilvl w:val="1"/>
          <w:numId w:val="2"/>
        </w:numPr>
        <w:kinsoku/>
        <w:wordWrap/>
        <w:overflowPunct/>
        <w:topLinePunct w:val="0"/>
        <w:bidi w:val="0"/>
        <w:adjustRightInd/>
        <w:snapToGrid/>
        <w:spacing w:after="0" w:line="360" w:lineRule="auto"/>
        <w:ind w:left="0" w:leftChars="0" w:right="0" w:rightChars="0"/>
        <w:jc w:val="both"/>
        <w:textAlignment w:val="auto"/>
        <w:rPr>
          <w:rFonts w:hint="eastAsia" w:ascii="宋体" w:hAnsi="宋体" w:eastAsia="宋体" w:cs="宋体"/>
          <w:b/>
          <w:bCs/>
          <w:color w:val="auto"/>
          <w:sz w:val="24"/>
          <w:highlight w:val="none"/>
        </w:rPr>
      </w:pPr>
      <w:bookmarkStart w:id="9" w:name="_Toc56417404"/>
      <w:r>
        <w:rPr>
          <w:rFonts w:hint="eastAsia" w:ascii="宋体" w:hAnsi="宋体" w:eastAsia="宋体" w:cs="宋体"/>
          <w:b/>
          <w:bCs/>
          <w:color w:val="auto"/>
          <w:sz w:val="24"/>
          <w:highlight w:val="none"/>
        </w:rPr>
        <w:t>当前存在的问题</w:t>
      </w:r>
      <w:bookmarkEnd w:id="9"/>
    </w:p>
    <w:p>
      <w:pPr>
        <w:keepNext w:val="0"/>
        <w:keepLines w:val="0"/>
        <w:pageBreakBefore w:val="0"/>
        <w:widowControl/>
        <w:kinsoku/>
        <w:wordWrap/>
        <w:overflowPunct/>
        <w:topLinePunct w:val="0"/>
        <w:autoSpaceDE w:val="0"/>
        <w:autoSpaceDN w:val="0"/>
        <w:bidi w:val="0"/>
        <w:adjustRightInd w:val="0"/>
        <w:snapToGrid/>
        <w:spacing w:after="0" w:line="360" w:lineRule="auto"/>
        <w:ind w:left="0" w:leftChars="0" w:right="0" w:rightChars="0" w:firstLine="480" w:firstLineChars="200"/>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加热炉采用高炉煤气双蓄热式燃烧，分段分侧控制方式，每个供热段的左右两侧交替燃烧和排烟，采用三通换向阀进行换向，约60s换向一次。</w:t>
      </w:r>
    </w:p>
    <w:p>
      <w:pPr>
        <w:spacing w:before="72" w:beforeLines="30"/>
        <w:ind w:firstLine="0"/>
        <w:jc w:val="center"/>
        <w:rPr>
          <w:rFonts w:hint="eastAsia" w:ascii="Times New Roman"/>
        </w:rPr>
      </w:pPr>
      <w:r>
        <w:rPr>
          <w:rFonts w:hint="eastAsia" w:ascii="宋体" w:hAnsi="宋体" w:eastAsia="宋体" w:cs="宋体"/>
        </w:rPr>
        <w:drawing>
          <wp:anchor distT="0" distB="0" distL="114300" distR="114300" simplePos="0" relativeHeight="251658240" behindDoc="0" locked="0" layoutInCell="1" allowOverlap="1">
            <wp:simplePos x="0" y="0"/>
            <wp:positionH relativeFrom="margin">
              <wp:posOffset>-20955</wp:posOffset>
            </wp:positionH>
            <wp:positionV relativeFrom="paragraph">
              <wp:posOffset>283210</wp:posOffset>
            </wp:positionV>
            <wp:extent cx="5278120" cy="2725420"/>
            <wp:effectExtent l="0" t="0" r="17780" b="1778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78120" cy="2725420"/>
                    </a:xfrm>
                    <a:prstGeom prst="rect">
                      <a:avLst/>
                    </a:prstGeom>
                    <a:noFill/>
                    <a:ln w="9525">
                      <a:noFill/>
                    </a:ln>
                  </pic:spPr>
                </pic:pic>
              </a:graphicData>
            </a:graphic>
          </wp:anchor>
        </w:drawing>
      </w:r>
    </w:p>
    <w:p>
      <w:pPr>
        <w:spacing w:before="72" w:beforeLines="30"/>
        <w:ind w:firstLine="0"/>
        <w:jc w:val="center"/>
        <w:rPr>
          <w:rFonts w:hint="eastAsia" w:ascii="Times New Roman"/>
        </w:rPr>
      </w:pPr>
    </w:p>
    <w:p>
      <w:pPr>
        <w:spacing w:before="72" w:beforeLines="30"/>
        <w:ind w:firstLine="0"/>
        <w:jc w:val="center"/>
        <w:rPr>
          <w:rFonts w:ascii="Times New Roman"/>
        </w:rPr>
      </w:pPr>
      <w:r>
        <w:rPr>
          <w:rFonts w:hint="eastAsia" w:ascii="宋体" w:hAnsi="宋体" w:eastAsia="宋体" w:cs="宋体"/>
        </w:rPr>
        <w:drawing>
          <wp:anchor distT="0" distB="0" distL="114300" distR="114300" simplePos="0" relativeHeight="251665408" behindDoc="0" locked="0" layoutInCell="1" allowOverlap="1">
            <wp:simplePos x="0" y="0"/>
            <wp:positionH relativeFrom="column">
              <wp:posOffset>-40005</wp:posOffset>
            </wp:positionH>
            <wp:positionV relativeFrom="paragraph">
              <wp:posOffset>104775</wp:posOffset>
            </wp:positionV>
            <wp:extent cx="5246370" cy="2787650"/>
            <wp:effectExtent l="0" t="0" r="11430" b="1270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46370" cy="2787650"/>
                    </a:xfrm>
                    <a:prstGeom prst="rect">
                      <a:avLst/>
                    </a:prstGeom>
                    <a:noFill/>
                    <a:ln w="9525">
                      <a:noFill/>
                    </a:ln>
                  </pic:spPr>
                </pic:pic>
              </a:graphicData>
            </a:graphic>
          </wp:anchor>
        </w:drawing>
      </w:r>
      <w:r>
        <w:rPr>
          <w:rFonts w:hint="eastAsia" w:ascii="Times New Roman"/>
        </w:rPr>
        <w:t>图1 公共</w:t>
      </w:r>
      <w:r>
        <w:rPr>
          <w:rFonts w:ascii="Times New Roman"/>
        </w:rPr>
        <w:t>管道的煤气</w:t>
      </w:r>
      <w:r>
        <w:rPr>
          <w:rFonts w:hint="eastAsia" w:ascii="Times New Roman"/>
        </w:rPr>
        <w:t>换向</w:t>
      </w:r>
      <w:r>
        <w:rPr>
          <w:rFonts w:ascii="Times New Roman"/>
        </w:rPr>
        <w:t>排放</w:t>
      </w:r>
    </w:p>
    <w:p>
      <w:pPr>
        <w:keepNext w:val="0"/>
        <w:keepLines w:val="0"/>
        <w:pageBreakBefore w:val="0"/>
        <w:widowControl/>
        <w:kinsoku/>
        <w:wordWrap/>
        <w:overflowPunct/>
        <w:topLinePunct w:val="0"/>
        <w:autoSpaceDE w:val="0"/>
        <w:autoSpaceDN w:val="0"/>
        <w:bidi w:val="0"/>
        <w:adjustRightInd w:val="0"/>
        <w:snapToGrid/>
        <w:spacing w:after="0" w:line="360" w:lineRule="auto"/>
        <w:ind w:left="0" w:leftChars="0" w:right="0" w:rightChars="0" w:firstLine="480" w:firstLineChars="200"/>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蓄热式燃烧系统换向阀与蓄热室间为煤气/烟气、空气/烟气共用管道，在上一个进气燃烧过程后，换向到下一个排烟过程中，中间有一个短暂的时间是将燃气或助燃空气气体（途中阴影部分）先排出去后，再引出炉内烟气。换向阀每60秒将换向一次，加热炉的三个控制段将会周而复始的不停的排放公共管道中的煤气。这将造成每天4320次的煤气直接排放，每年（按330天）142万次的煤气直接排放</w:t>
      </w:r>
      <w:bookmarkStart w:id="10" w:name="_Toc56417405"/>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造成煤气浪费和CO污染。</w:t>
      </w:r>
    </w:p>
    <w:p>
      <w:pPr>
        <w:keepNext w:val="0"/>
        <w:keepLines w:val="0"/>
        <w:pageBreakBefore w:val="0"/>
        <w:widowControl w:val="0"/>
        <w:numPr>
          <w:ilvl w:val="1"/>
          <w:numId w:val="2"/>
        </w:numPr>
        <w:kinsoku/>
        <w:wordWrap/>
        <w:overflowPunct/>
        <w:topLinePunct w:val="0"/>
        <w:bidi w:val="0"/>
        <w:adjustRightInd/>
        <w:snapToGrid/>
        <w:spacing w:after="0" w:line="360" w:lineRule="auto"/>
        <w:ind w:right="0" w:rightChars="0"/>
        <w:jc w:val="both"/>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改造基本原理</w:t>
      </w:r>
      <w:bookmarkEnd w:id="10"/>
    </w:p>
    <w:p>
      <w:pPr>
        <w:keepNext w:val="0"/>
        <w:keepLines w:val="0"/>
        <w:pageBreakBefore w:val="0"/>
        <w:kinsoku/>
        <w:wordWrap/>
        <w:overflowPunct/>
        <w:topLinePunct w:val="0"/>
        <w:bidi w:val="0"/>
        <w:spacing w:after="0" w:line="360" w:lineRule="auto"/>
        <w:ind w:right="0" w:righ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w:t>
      </w:r>
      <w:r>
        <w:rPr>
          <w:rFonts w:hint="eastAsia" w:asciiTheme="majorEastAsia" w:hAnsiTheme="majorEastAsia" w:eastAsiaTheme="majorEastAsia" w:cstheme="majorEastAsia"/>
          <w:sz w:val="24"/>
          <w:szCs w:val="24"/>
          <w:lang w:eastAsia="zh-CN"/>
        </w:rPr>
        <w:t>项目主要</w:t>
      </w:r>
      <w:r>
        <w:rPr>
          <w:rFonts w:hint="eastAsia" w:asciiTheme="majorEastAsia" w:hAnsiTheme="majorEastAsia" w:eastAsiaTheme="majorEastAsia" w:cstheme="majorEastAsia"/>
          <w:sz w:val="24"/>
          <w:szCs w:val="24"/>
        </w:rPr>
        <w:t>解决加热炉公共管道煤气排放浪费及污染的问题，避免换向时煤气直接被抽到煤烟管道中直接排放。</w:t>
      </w:r>
    </w:p>
    <w:p>
      <w:pPr>
        <w:keepNext w:val="0"/>
        <w:keepLines w:val="0"/>
        <w:pageBreakBefore w:val="0"/>
        <w:kinsoku/>
        <w:wordWrap/>
        <w:overflowPunct/>
        <w:topLinePunct w:val="0"/>
        <w:bidi w:val="0"/>
        <w:spacing w:after="0" w:line="360" w:lineRule="auto"/>
        <w:ind w:right="0" w:rightChars="0"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在换向阀换向（即换向阀的煤气阀板切断）后，采用</w:t>
      </w:r>
      <w:r>
        <w:rPr>
          <w:rFonts w:hint="eastAsia" w:asciiTheme="majorEastAsia" w:hAnsiTheme="majorEastAsia" w:eastAsiaTheme="majorEastAsia" w:cstheme="majorEastAsia"/>
          <w:color w:val="C00000"/>
          <w:sz w:val="24"/>
          <w:szCs w:val="24"/>
        </w:rPr>
        <w:t>煤烟烟气</w:t>
      </w:r>
      <w:r>
        <w:rPr>
          <w:rFonts w:hint="eastAsia" w:asciiTheme="majorEastAsia" w:hAnsiTheme="majorEastAsia" w:eastAsiaTheme="majorEastAsia" w:cstheme="majorEastAsia"/>
          <w:sz w:val="24"/>
          <w:szCs w:val="24"/>
        </w:rPr>
        <w:t>将换向阀和烧嘴之间的公共管道内的煤气吹到炉内进行燃烧。然后换向阀的煤烟阀板打开，进行正常的排烟工作</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避免了煤气浪费以及排放污染。</w:t>
      </w:r>
    </w:p>
    <w:p>
      <w:pPr>
        <w:keepNext w:val="0"/>
        <w:keepLines w:val="0"/>
        <w:pageBreakBefore w:val="0"/>
        <w:widowControl w:val="0"/>
        <w:numPr>
          <w:ilvl w:val="1"/>
          <w:numId w:val="2"/>
        </w:numPr>
        <w:kinsoku/>
        <w:wordWrap/>
        <w:overflowPunct/>
        <w:topLinePunct w:val="0"/>
        <w:bidi w:val="0"/>
        <w:adjustRightInd/>
        <w:snapToGrid/>
        <w:spacing w:after="0" w:line="360" w:lineRule="auto"/>
        <w:ind w:right="0" w:rightChars="0"/>
        <w:jc w:val="both"/>
        <w:textAlignment w:val="auto"/>
        <w:rPr>
          <w:rFonts w:hint="eastAsia" w:ascii="宋体" w:hAnsi="宋体" w:eastAsia="宋体" w:cs="宋体"/>
          <w:b/>
          <w:bCs/>
          <w:color w:val="auto"/>
          <w:sz w:val="24"/>
          <w:highlight w:val="none"/>
        </w:rPr>
      </w:pPr>
      <w:bookmarkStart w:id="11" w:name="_Toc56417406"/>
      <w:bookmarkStart w:id="12" w:name="_Toc24982"/>
      <w:r>
        <w:rPr>
          <w:rFonts w:hint="eastAsia" w:ascii="宋体" w:hAnsi="宋体" w:eastAsia="宋体" w:cs="宋体"/>
          <w:b/>
          <w:bCs/>
          <w:color w:val="auto"/>
          <w:sz w:val="24"/>
          <w:highlight w:val="none"/>
        </w:rPr>
        <w:t>改造方式</w:t>
      </w:r>
      <w:bookmarkEnd w:id="11"/>
    </w:p>
    <w:p>
      <w:pPr>
        <w:keepNext w:val="0"/>
        <w:keepLines w:val="0"/>
        <w:pageBreakBefore w:val="0"/>
        <w:kinsoku/>
        <w:wordWrap/>
        <w:overflowPunct/>
        <w:topLinePunct w:val="0"/>
        <w:bidi w:val="0"/>
        <w:spacing w:after="0" w:line="360" w:lineRule="auto"/>
        <w:ind w:right="0" w:rightChars="0" w:firstLine="480" w:firstLineChars="200"/>
        <w:jc w:val="both"/>
        <w:textAlignment w:val="auto"/>
        <w:rPr>
          <w:rFonts w:hint="eastAsia" w:asciiTheme="minorEastAsia" w:hAnsiTheme="minorEastAsia" w:eastAsiaTheme="minorEastAsia" w:cstheme="minorEastAsia"/>
          <w:b/>
          <w:bCs/>
          <w:color w:val="C00000"/>
          <w:sz w:val="24"/>
          <w:szCs w:val="24"/>
        </w:rPr>
      </w:pPr>
      <w:r>
        <w:rPr>
          <w:rFonts w:hint="eastAsia" w:asciiTheme="minorEastAsia" w:hAnsiTheme="minorEastAsia" w:eastAsiaTheme="minorEastAsia" w:cstheme="minorEastAsia"/>
          <w:sz w:val="24"/>
          <w:szCs w:val="24"/>
        </w:rPr>
        <w:t>加热炉设计一套CO减排系统，在炉区的煤烟总管或烟囱部位引出煤烟烟气，经过循环风机加压，送到各供热段的煤气/煤烟换向阀下部的集管上，</w:t>
      </w:r>
      <w:r>
        <w:rPr>
          <w:rFonts w:hint="eastAsia" w:asciiTheme="minorEastAsia" w:hAnsiTheme="minorEastAsia" w:eastAsiaTheme="minorEastAsia" w:cstheme="minorEastAsia"/>
          <w:b/>
          <w:bCs/>
          <w:color w:val="C00000"/>
          <w:sz w:val="24"/>
          <w:szCs w:val="24"/>
        </w:rPr>
        <w:t>将原煤气三通换向阀整体更换，将反吹两通阀与煤气三通换向阀整合设计为三位四通换向阀，使反吹系统管道与原煤气管道系统无缝结合</w:t>
      </w:r>
      <w:r>
        <w:rPr>
          <w:rFonts w:hint="eastAsia" w:asciiTheme="minorEastAsia" w:hAnsiTheme="minorEastAsia" w:eastAsiaTheme="minorEastAsia" w:cstheme="minorEastAsia"/>
          <w:b/>
          <w:bCs/>
          <w:color w:val="C00000"/>
          <w:sz w:val="24"/>
          <w:szCs w:val="24"/>
          <w:lang w:eastAsia="zh-CN"/>
        </w:rPr>
        <w:t>。</w:t>
      </w:r>
    </w:p>
    <w:p>
      <w:pPr>
        <w:keepNext w:val="0"/>
        <w:keepLines w:val="0"/>
        <w:pageBreakBefore w:val="0"/>
        <w:kinsoku/>
        <w:wordWrap/>
        <w:overflowPunct/>
        <w:topLinePunct w:val="0"/>
        <w:bidi w:val="0"/>
        <w:spacing w:after="0" w:line="360" w:lineRule="auto"/>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循环风机入口设一台密封蝶阀、一个热电阻、烟气含O2检测仪，出口设置一台远传压力检测、一台气动快切阀、一台眼镜盲板阀。</w:t>
      </w:r>
    </w:p>
    <w:p>
      <w:pPr>
        <w:keepNext w:val="0"/>
        <w:keepLines w:val="0"/>
        <w:pageBreakBefore w:val="0"/>
        <w:kinsoku/>
        <w:wordWrap/>
        <w:overflowPunct/>
        <w:topLinePunct w:val="0"/>
        <w:bidi w:val="0"/>
        <w:spacing w:after="0" w:line="360" w:lineRule="auto"/>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在烟气加压风机后增加一路旁通管，旁通管路上设置切换阀（气缸和阀板一用一备）、调节手阀，旁通管末端接入煤烟管道或烟囱。防止在运行期间烟气加压风机憋压</w:t>
      </w:r>
      <w:r>
        <w:rPr>
          <w:rFonts w:hint="eastAsia" w:asciiTheme="minorEastAsia" w:hAnsiTheme="minorEastAsia" w:eastAsiaTheme="minorEastAsia" w:cstheme="minorEastAsia"/>
          <w:sz w:val="24"/>
          <w:szCs w:val="24"/>
          <w:lang w:eastAsia="zh-CN"/>
        </w:rPr>
        <w:t>。</w:t>
      </w:r>
    </w:p>
    <w:p>
      <w:pPr>
        <w:keepNext w:val="0"/>
        <w:keepLines w:val="0"/>
        <w:pageBreakBefore w:val="0"/>
        <w:kinsoku/>
        <w:wordWrap/>
        <w:overflowPunct/>
        <w:topLinePunct w:val="0"/>
        <w:bidi w:val="0"/>
        <w:spacing w:after="0" w:line="360" w:lineRule="auto"/>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烟气吹扫系统管道设置氮气吹扫点，在本系统管道二次启用前对管道内部进行氮气吹扫置换，保证使用安全。氮气吹扫点的放散方式为：一处由烟囱直接放散；一处由炉区烟气吹扫管道末端放散，放散口高度出厂房4m。</w:t>
      </w:r>
    </w:p>
    <w:p>
      <w:pPr>
        <w:keepNext w:val="0"/>
        <w:keepLines w:val="0"/>
        <w:pageBreakBefore w:val="0"/>
        <w:kinsoku/>
        <w:wordWrap/>
        <w:overflowPunct/>
        <w:topLinePunct w:val="0"/>
        <w:bidi w:val="0"/>
        <w:spacing w:after="0" w:line="360" w:lineRule="auto"/>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同时由于烟气吹扫管道为低温烟气管道，有凝结水产生，管道低点要考虑安装手动排水阀门。</w:t>
      </w:r>
    </w:p>
    <w:p>
      <w:pPr>
        <w:keepNext w:val="0"/>
        <w:keepLines w:val="0"/>
        <w:pageBreakBefore w:val="0"/>
        <w:kinsoku/>
        <w:wordWrap/>
        <w:overflowPunct/>
        <w:topLinePunct w:val="0"/>
        <w:bidi w:val="0"/>
        <w:spacing w:after="0" w:line="360" w:lineRule="auto"/>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设置两类烟气检测分析仪：一类为安全环保型（激光式）检测仪，安装在煤烟主管部位，检测煤烟总管内CO、O</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含量；一类为热工控制型（红外或电化学式），安装在加热炉各供热段煤烟集管部位，检测供热段煤烟管内CO、O</w:t>
      </w:r>
      <w:r>
        <w:rPr>
          <w:rFonts w:hint="eastAsia" w:asciiTheme="minorEastAsia" w:hAnsiTheme="minorEastAsia" w:eastAsiaTheme="minorEastAsia" w:cstheme="minorEastAsia"/>
          <w:sz w:val="24"/>
          <w:szCs w:val="24"/>
          <w:vertAlign w:val="subscript"/>
        </w:rPr>
        <w:t>2</w:t>
      </w:r>
      <w:r>
        <w:rPr>
          <w:rFonts w:hint="eastAsia" w:asciiTheme="minorEastAsia" w:hAnsiTheme="minorEastAsia" w:eastAsiaTheme="minorEastAsia" w:cstheme="minorEastAsia"/>
          <w:sz w:val="24"/>
          <w:szCs w:val="24"/>
        </w:rPr>
        <w:t>含量。</w:t>
      </w:r>
    </w:p>
    <w:p>
      <w:pPr>
        <w:keepNext w:val="0"/>
        <w:keepLines w:val="0"/>
        <w:pageBreakBefore w:val="0"/>
        <w:kinsoku/>
        <w:wordWrap/>
        <w:overflowPunct/>
        <w:topLinePunct w:val="0"/>
        <w:bidi w:val="0"/>
        <w:spacing w:after="0" w:line="360" w:lineRule="auto"/>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吹扫循环风机入口设置烟气温度检测点，保证风机在烟气不超温的状态下工作。反吹循环风机出口设置的烟气压力检测点，检测烟气吹扫管道压力，保证烟气吹扫效果。</w:t>
      </w:r>
    </w:p>
    <w:p>
      <w:pPr>
        <w:keepNext w:val="0"/>
        <w:keepLines w:val="0"/>
        <w:pageBreakBefore w:val="0"/>
        <w:widowControl w:val="0"/>
        <w:numPr>
          <w:ilvl w:val="1"/>
          <w:numId w:val="2"/>
        </w:numPr>
        <w:kinsoku/>
        <w:wordWrap/>
        <w:overflowPunct/>
        <w:topLinePunct w:val="0"/>
        <w:bidi w:val="0"/>
        <w:adjustRightInd/>
        <w:snapToGrid/>
        <w:spacing w:after="0" w:line="360" w:lineRule="auto"/>
        <w:ind w:right="0" w:rightChars="0"/>
        <w:jc w:val="both"/>
        <w:textAlignment w:val="auto"/>
        <w:rPr>
          <w:rFonts w:hint="eastAsia" w:ascii="宋体" w:hAnsi="宋体" w:eastAsia="宋体" w:cs="宋体"/>
          <w:b/>
          <w:bCs/>
          <w:color w:val="auto"/>
          <w:sz w:val="24"/>
          <w:highlight w:val="none"/>
        </w:rPr>
      </w:pPr>
      <w:bookmarkStart w:id="13" w:name="_Toc56417407"/>
      <w:r>
        <w:rPr>
          <w:rFonts w:hint="eastAsia" w:ascii="宋体" w:hAnsi="宋体" w:eastAsia="宋体" w:cs="宋体"/>
          <w:b/>
          <w:bCs/>
          <w:color w:val="auto"/>
          <w:sz w:val="24"/>
          <w:highlight w:val="none"/>
        </w:rPr>
        <w:t>安全防护</w:t>
      </w:r>
      <w:bookmarkEnd w:id="12"/>
      <w:bookmarkEnd w:id="13"/>
    </w:p>
    <w:p>
      <w:pPr>
        <w:keepNext w:val="0"/>
        <w:keepLines w:val="0"/>
        <w:pageBreakBefore w:val="0"/>
        <w:kinsoku/>
        <w:wordWrap/>
        <w:overflowPunct/>
        <w:topLinePunct w:val="0"/>
        <w:bidi w:val="0"/>
        <w:spacing w:after="0" w:line="360" w:lineRule="auto"/>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本项目主要安全部分是高炉煤气防爆。</w:t>
      </w:r>
    </w:p>
    <w:p>
      <w:pPr>
        <w:keepNext w:val="0"/>
        <w:keepLines w:val="0"/>
        <w:pageBreakBefore w:val="0"/>
        <w:kinsoku/>
        <w:wordWrap/>
        <w:overflowPunct/>
        <w:topLinePunct w:val="0"/>
        <w:bidi w:val="0"/>
        <w:spacing w:after="0" w:line="360" w:lineRule="auto"/>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高炉煤气的着火温度是650~700℃，爆炸极限是46%～68%，必须确保炉膛内的温度高于700℃，高炉煤气的使用才处于安全状态。</w:t>
      </w:r>
    </w:p>
    <w:p>
      <w:pPr>
        <w:keepNext w:val="0"/>
        <w:keepLines w:val="0"/>
        <w:pageBreakBefore w:val="0"/>
        <w:kinsoku/>
        <w:wordWrap/>
        <w:overflowPunct/>
        <w:topLinePunct w:val="0"/>
        <w:bidi w:val="0"/>
        <w:spacing w:after="0" w:line="360" w:lineRule="auto"/>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安全措施：</w:t>
      </w:r>
    </w:p>
    <w:p>
      <w:pPr>
        <w:keepNext w:val="0"/>
        <w:keepLines w:val="0"/>
        <w:pageBreakBefore w:val="0"/>
        <w:numPr>
          <w:ilvl w:val="0"/>
          <w:numId w:val="3"/>
        </w:numPr>
        <w:kinsoku/>
        <w:wordWrap/>
        <w:overflowPunct/>
        <w:topLinePunct w:val="0"/>
        <w:bidi w:val="0"/>
        <w:spacing w:after="0" w:line="360" w:lineRule="auto"/>
        <w:ind w:left="845" w:leftChars="0" w:right="0" w:righ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当各段炉温超过750℃时，烟气反吹才允许投用；一旦各段炉膛温度低于750℃，全部烟气反吹停止运行。</w:t>
      </w:r>
    </w:p>
    <w:p>
      <w:pPr>
        <w:keepNext w:val="0"/>
        <w:keepLines w:val="0"/>
        <w:pageBreakBefore w:val="0"/>
        <w:numPr>
          <w:ilvl w:val="0"/>
          <w:numId w:val="3"/>
        </w:numPr>
        <w:kinsoku/>
        <w:wordWrap/>
        <w:overflowPunct/>
        <w:topLinePunct w:val="0"/>
        <w:bidi w:val="0"/>
        <w:spacing w:after="0" w:line="360" w:lineRule="auto"/>
        <w:ind w:left="845" w:leftChars="0" w:right="0" w:righ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排烟温度高于150℃时（可调）或烟气中残氧含量较高时，该段烟气反吹停止运行。</w:t>
      </w:r>
    </w:p>
    <w:p>
      <w:pPr>
        <w:keepNext w:val="0"/>
        <w:keepLines w:val="0"/>
        <w:pageBreakBefore w:val="0"/>
        <w:numPr>
          <w:ilvl w:val="0"/>
          <w:numId w:val="3"/>
        </w:numPr>
        <w:kinsoku/>
        <w:wordWrap/>
        <w:overflowPunct/>
        <w:topLinePunct w:val="0"/>
        <w:bidi w:val="0"/>
        <w:spacing w:after="0" w:line="360" w:lineRule="auto"/>
        <w:ind w:left="845" w:leftChars="0" w:right="0" w:righ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在烟气吹扫管道盲板阀前后安装氮气吹扫管路，便于在该系统启用前或者停用后对该段管路进行吹扫。</w:t>
      </w:r>
    </w:p>
    <w:p>
      <w:pPr>
        <w:keepNext w:val="0"/>
        <w:keepLines w:val="0"/>
        <w:pageBreakBefore w:val="0"/>
        <w:numPr>
          <w:ilvl w:val="0"/>
          <w:numId w:val="3"/>
        </w:numPr>
        <w:kinsoku/>
        <w:wordWrap/>
        <w:overflowPunct/>
        <w:topLinePunct w:val="0"/>
        <w:bidi w:val="0"/>
        <w:spacing w:after="0" w:line="360" w:lineRule="auto"/>
        <w:ind w:left="845" w:leftChars="0" w:right="0" w:righ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烟气吹扫循环风机出口设置快速切断阀，当炉区停电时保证反吹系统与原系统能有效切断。</w:t>
      </w:r>
    </w:p>
    <w:p>
      <w:pPr>
        <w:keepNext w:val="0"/>
        <w:keepLines w:val="0"/>
        <w:pageBreakBefore w:val="0"/>
        <w:numPr>
          <w:ilvl w:val="0"/>
          <w:numId w:val="3"/>
        </w:numPr>
        <w:kinsoku/>
        <w:wordWrap/>
        <w:overflowPunct/>
        <w:topLinePunct w:val="0"/>
        <w:bidi w:val="0"/>
        <w:spacing w:after="0" w:line="360" w:lineRule="auto"/>
        <w:ind w:left="845" w:leftChars="0" w:right="0" w:righ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在炉区使用的风机电机为防爆型，确保在煤气区域机电设备安全运行。</w:t>
      </w:r>
    </w:p>
    <w:p>
      <w:pPr>
        <w:keepNext w:val="0"/>
        <w:keepLines w:val="0"/>
        <w:pageBreakBefore w:val="0"/>
        <w:numPr>
          <w:ilvl w:val="0"/>
          <w:numId w:val="3"/>
        </w:numPr>
        <w:kinsoku/>
        <w:wordWrap/>
        <w:overflowPunct/>
        <w:topLinePunct w:val="0"/>
        <w:bidi w:val="0"/>
        <w:spacing w:after="0" w:line="360" w:lineRule="auto"/>
        <w:ind w:left="845" w:leftChars="0" w:right="0" w:righ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所有法兰阀门设跨静电连接。</w:t>
      </w:r>
    </w:p>
    <w:p>
      <w:pPr>
        <w:keepNext w:val="0"/>
        <w:keepLines w:val="0"/>
        <w:pageBreakBefore w:val="0"/>
        <w:numPr>
          <w:ilvl w:val="0"/>
          <w:numId w:val="3"/>
        </w:numPr>
        <w:kinsoku/>
        <w:wordWrap/>
        <w:overflowPunct/>
        <w:topLinePunct w:val="0"/>
        <w:bidi w:val="0"/>
        <w:spacing w:after="0" w:line="360" w:lineRule="auto"/>
        <w:ind w:left="845" w:leftChars="0" w:right="0" w:righ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当所有烟气支管换向阀关闭时，释压换向阀自动打开；风机出口压力超高时，释压换向阀自动打开。</w:t>
      </w:r>
    </w:p>
    <w:p>
      <w:pPr>
        <w:keepNext w:val="0"/>
        <w:keepLines w:val="0"/>
        <w:pageBreakBefore w:val="0"/>
        <w:numPr>
          <w:ilvl w:val="0"/>
          <w:numId w:val="3"/>
        </w:numPr>
        <w:kinsoku/>
        <w:wordWrap/>
        <w:overflowPunct/>
        <w:topLinePunct w:val="0"/>
        <w:bidi w:val="0"/>
        <w:spacing w:after="0" w:line="360" w:lineRule="auto"/>
        <w:ind w:left="845" w:leftChars="0" w:right="0" w:righ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循环风机稳态：通过变频控制，保持循环风机处于长期稳态工况，延长循环风机使用寿命。</w:t>
      </w:r>
    </w:p>
    <w:p>
      <w:pPr>
        <w:keepNext w:val="0"/>
        <w:keepLines w:val="0"/>
        <w:pageBreakBefore w:val="0"/>
        <w:numPr>
          <w:ilvl w:val="0"/>
          <w:numId w:val="3"/>
        </w:numPr>
        <w:kinsoku/>
        <w:wordWrap/>
        <w:overflowPunct/>
        <w:topLinePunct w:val="0"/>
        <w:bidi w:val="0"/>
        <w:spacing w:after="0" w:line="360" w:lineRule="auto"/>
        <w:ind w:left="845" w:leftChars="0" w:right="0" w:righ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循环风机故障：当循环风机故障停机时，循环风机入口、出口切断阀关闭，吹扫阀关闭，同时发出严重报警提示操作人员。</w:t>
      </w:r>
    </w:p>
    <w:p>
      <w:pPr>
        <w:keepNext w:val="0"/>
        <w:keepLines w:val="0"/>
        <w:pageBreakBefore w:val="0"/>
        <w:widowControl w:val="0"/>
        <w:numPr>
          <w:ilvl w:val="1"/>
          <w:numId w:val="2"/>
        </w:numPr>
        <w:kinsoku/>
        <w:wordWrap/>
        <w:overflowPunct/>
        <w:topLinePunct w:val="0"/>
        <w:bidi w:val="0"/>
        <w:adjustRightInd/>
        <w:snapToGrid/>
        <w:spacing w:after="0" w:line="360" w:lineRule="auto"/>
        <w:ind w:right="0" w:rightChars="0"/>
        <w:jc w:val="both"/>
        <w:textAlignment w:val="auto"/>
        <w:rPr>
          <w:rFonts w:hint="eastAsia" w:ascii="宋体" w:hAnsi="宋体" w:eastAsia="宋体" w:cs="宋体"/>
          <w:b/>
          <w:bCs/>
          <w:color w:val="auto"/>
          <w:sz w:val="24"/>
          <w:highlight w:val="none"/>
        </w:rPr>
      </w:pPr>
      <w:bookmarkStart w:id="14" w:name="_Toc31563"/>
      <w:bookmarkStart w:id="15" w:name="_Toc56417408"/>
      <w:r>
        <w:rPr>
          <w:rFonts w:hint="eastAsia" w:ascii="宋体" w:hAnsi="宋体" w:eastAsia="宋体" w:cs="宋体"/>
          <w:b/>
          <w:bCs/>
          <w:color w:val="auto"/>
          <w:sz w:val="24"/>
          <w:highlight w:val="none"/>
        </w:rPr>
        <w:t>技术改造</w:t>
      </w:r>
      <w:bookmarkEnd w:id="14"/>
      <w:bookmarkEnd w:id="15"/>
      <w:r>
        <w:rPr>
          <w:rFonts w:hint="eastAsia" w:ascii="宋体" w:hAnsi="宋体" w:eastAsia="宋体" w:cs="宋体"/>
          <w:b/>
          <w:bCs/>
          <w:color w:val="auto"/>
          <w:sz w:val="24"/>
          <w:highlight w:val="none"/>
          <w:lang w:eastAsia="zh-CN"/>
        </w:rPr>
        <w:t>要求</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42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充分考虑尽量减少对原加热炉燃烧系统的影响，包括产量、炉压、引风机运行、换向时间等因素，从以下几点考虑：</w:t>
      </w:r>
    </w:p>
    <w:p>
      <w:pPr>
        <w:keepNext w:val="0"/>
        <w:keepLines w:val="0"/>
        <w:pageBreakBefore w:val="0"/>
        <w:numPr>
          <w:ilvl w:val="2"/>
          <w:numId w:val="4"/>
        </w:numPr>
        <w:tabs>
          <w:tab w:val="left" w:pos="0"/>
        </w:tabs>
        <w:kinsoku/>
        <w:wordWrap/>
        <w:overflowPunct/>
        <w:topLinePunct w:val="0"/>
        <w:autoSpaceDE/>
        <w:autoSpaceDN/>
        <w:bidi w:val="0"/>
        <w:spacing w:after="0" w:line="360" w:lineRule="auto"/>
        <w:ind w:right="0" w:rightChars="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吹扫用气动阀门采用直行程换向阀，换向时间相对较短，阀门运行稳定可靠，故障率低。</w:t>
      </w:r>
    </w:p>
    <w:p>
      <w:pPr>
        <w:keepNext w:val="0"/>
        <w:keepLines w:val="0"/>
        <w:pageBreakBefore w:val="0"/>
        <w:numPr>
          <w:ilvl w:val="2"/>
          <w:numId w:val="4"/>
        </w:numPr>
        <w:tabs>
          <w:tab w:val="left" w:pos="0"/>
        </w:tabs>
        <w:kinsoku/>
        <w:wordWrap/>
        <w:overflowPunct/>
        <w:topLinePunct w:val="0"/>
        <w:autoSpaceDE/>
        <w:autoSpaceDN/>
        <w:bidi w:val="0"/>
        <w:spacing w:after="0" w:line="360" w:lineRule="auto"/>
        <w:ind w:right="0" w:rightChars="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吹扫管道及反吹切换阀的管道布置要考虑现有的空间布置；在替换煤气的过程中，尽量接近原有的煤气流量，模拟原有的燃烧状况，减少对生产的影响；</w:t>
      </w:r>
    </w:p>
    <w:p>
      <w:pPr>
        <w:keepNext w:val="0"/>
        <w:keepLines w:val="0"/>
        <w:pageBreakBefore w:val="0"/>
        <w:numPr>
          <w:ilvl w:val="2"/>
          <w:numId w:val="4"/>
        </w:numPr>
        <w:tabs>
          <w:tab w:val="left" w:pos="0"/>
        </w:tabs>
        <w:kinsoku/>
        <w:wordWrap/>
        <w:overflowPunct/>
        <w:topLinePunct w:val="0"/>
        <w:autoSpaceDE/>
        <w:autoSpaceDN/>
        <w:bidi w:val="0"/>
        <w:spacing w:after="0" w:line="360" w:lineRule="auto"/>
        <w:ind w:right="0" w:rightChars="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保持原有换向周期不变，对现有的换向逻辑进行微调，减少对加热炉燃烧系统的影响；</w:t>
      </w:r>
    </w:p>
    <w:p>
      <w:pPr>
        <w:keepNext w:val="0"/>
        <w:keepLines w:val="0"/>
        <w:pageBreakBefore w:val="0"/>
        <w:numPr>
          <w:ilvl w:val="2"/>
          <w:numId w:val="4"/>
        </w:numPr>
        <w:tabs>
          <w:tab w:val="left" w:pos="0"/>
        </w:tabs>
        <w:kinsoku/>
        <w:wordWrap/>
        <w:overflowPunct/>
        <w:topLinePunct w:val="0"/>
        <w:autoSpaceDE/>
        <w:autoSpaceDN/>
        <w:bidi w:val="0"/>
        <w:spacing w:after="0" w:line="360" w:lineRule="auto"/>
        <w:ind w:right="0" w:rightChars="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烟气吹扫循环风机采用变频控制，轴承座冷却方式为净环水冷；</w:t>
      </w:r>
    </w:p>
    <w:p>
      <w:pPr>
        <w:keepNext w:val="0"/>
        <w:keepLines w:val="0"/>
        <w:pageBreakBefore w:val="0"/>
        <w:numPr>
          <w:ilvl w:val="2"/>
          <w:numId w:val="4"/>
        </w:numPr>
        <w:tabs>
          <w:tab w:val="left" w:pos="0"/>
        </w:tabs>
        <w:kinsoku/>
        <w:wordWrap/>
        <w:overflowPunct/>
        <w:topLinePunct w:val="0"/>
        <w:autoSpaceDE/>
        <w:autoSpaceDN/>
        <w:bidi w:val="0"/>
        <w:spacing w:after="0" w:line="360" w:lineRule="auto"/>
        <w:ind w:right="0" w:rightChars="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吹扫烟气主管设置压力传感器，设计释压换向阀，避免反吹风机出现憋压现象；同时在烟气吹扫风机出口压力低于2500Pa（可调）以下时，系统强制关闭并报警，风机停运、切断阀切断关闭。</w:t>
      </w:r>
    </w:p>
    <w:p>
      <w:pPr>
        <w:keepNext w:val="0"/>
        <w:keepLines w:val="0"/>
        <w:pageBreakBefore w:val="0"/>
        <w:numPr>
          <w:ilvl w:val="2"/>
          <w:numId w:val="4"/>
        </w:numPr>
        <w:tabs>
          <w:tab w:val="left" w:pos="0"/>
        </w:tabs>
        <w:kinsoku/>
        <w:wordWrap/>
        <w:overflowPunct/>
        <w:topLinePunct w:val="0"/>
        <w:autoSpaceDE/>
        <w:autoSpaceDN/>
        <w:bidi w:val="0"/>
        <w:spacing w:after="0" w:line="360" w:lineRule="auto"/>
        <w:ind w:right="0" w:rightChars="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设置烟气温度联锁，设置炉内温度联锁，设置CO、残氧检测和联锁，确保反吹系统安全使用；</w:t>
      </w:r>
    </w:p>
    <w:p>
      <w:pPr>
        <w:keepNext w:val="0"/>
        <w:keepLines w:val="0"/>
        <w:pageBreakBefore w:val="0"/>
        <w:numPr>
          <w:ilvl w:val="2"/>
          <w:numId w:val="4"/>
        </w:numPr>
        <w:tabs>
          <w:tab w:val="left" w:pos="0"/>
        </w:tabs>
        <w:kinsoku/>
        <w:wordWrap/>
        <w:overflowPunct/>
        <w:topLinePunct w:val="0"/>
        <w:autoSpaceDE/>
        <w:autoSpaceDN/>
        <w:bidi w:val="0"/>
        <w:spacing w:after="0" w:line="360" w:lineRule="auto"/>
        <w:ind w:right="0" w:rightChars="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吹扫烟气吸入口设置在煤烟引风机后，减少煤烟引风机的负荷波动，充分考虑现有引风机的稳定运行，不对现有引风机造成干扰、引起喘振；</w:t>
      </w:r>
    </w:p>
    <w:p>
      <w:pPr>
        <w:keepNext w:val="0"/>
        <w:keepLines w:val="0"/>
        <w:pageBreakBefore w:val="0"/>
        <w:numPr>
          <w:ilvl w:val="2"/>
          <w:numId w:val="4"/>
        </w:numPr>
        <w:tabs>
          <w:tab w:val="left" w:pos="0"/>
        </w:tabs>
        <w:kinsoku/>
        <w:wordWrap/>
        <w:overflowPunct/>
        <w:topLinePunct w:val="0"/>
        <w:autoSpaceDE/>
        <w:autoSpaceDN/>
        <w:bidi w:val="0"/>
        <w:spacing w:after="0" w:line="360" w:lineRule="auto"/>
        <w:ind w:right="0" w:rightChars="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在燃烧负荷变化时，可以根据实际状况调节吹扫系统烟气量，模拟反吹前的燃烧状态，减少对生产的影响；</w:t>
      </w:r>
    </w:p>
    <w:p>
      <w:pPr>
        <w:keepNext w:val="0"/>
        <w:keepLines w:val="0"/>
        <w:pageBreakBefore w:val="0"/>
        <w:numPr>
          <w:ilvl w:val="2"/>
          <w:numId w:val="4"/>
        </w:numPr>
        <w:tabs>
          <w:tab w:val="left" w:pos="0"/>
        </w:tabs>
        <w:kinsoku/>
        <w:wordWrap/>
        <w:overflowPunct/>
        <w:topLinePunct w:val="0"/>
        <w:autoSpaceDE/>
        <w:autoSpaceDN/>
        <w:bidi w:val="0"/>
        <w:spacing w:after="0" w:line="360" w:lineRule="auto"/>
        <w:ind w:right="0" w:rightChars="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重新优化原燃烧系统换向程序，减少释压换向阀反复动作；吹扫系统程序退出时，原燃烧系统恢复到原始状态；</w:t>
      </w:r>
    </w:p>
    <w:p>
      <w:pPr>
        <w:keepNext w:val="0"/>
        <w:keepLines w:val="0"/>
        <w:pageBreakBefore w:val="0"/>
        <w:numPr>
          <w:ilvl w:val="2"/>
          <w:numId w:val="4"/>
        </w:numPr>
        <w:tabs>
          <w:tab w:val="left" w:pos="0"/>
        </w:tabs>
        <w:kinsoku/>
        <w:wordWrap/>
        <w:overflowPunct/>
        <w:topLinePunct w:val="0"/>
        <w:autoSpaceDE/>
        <w:autoSpaceDN/>
        <w:bidi w:val="0"/>
        <w:spacing w:after="0" w:line="360" w:lineRule="auto"/>
        <w:ind w:right="0" w:rightChars="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因</w:t>
      </w:r>
      <w:r>
        <w:rPr>
          <w:rFonts w:hint="eastAsia" w:ascii="宋体" w:hAnsi="宋体" w:eastAsia="宋体"/>
          <w:color w:val="auto"/>
          <w:sz w:val="24"/>
          <w:szCs w:val="24"/>
          <w:highlight w:val="none"/>
        </w:rPr>
        <w:t>释压旁通阀动作频繁，将该切换阀改为三通形式的两通阀，达到一用一备状态。</w:t>
      </w:r>
    </w:p>
    <w:p>
      <w:pPr>
        <w:keepNext w:val="0"/>
        <w:keepLines w:val="0"/>
        <w:pageBreakBefore w:val="0"/>
        <w:numPr>
          <w:ilvl w:val="2"/>
          <w:numId w:val="4"/>
        </w:numPr>
        <w:tabs>
          <w:tab w:val="left" w:pos="0"/>
        </w:tabs>
        <w:kinsoku/>
        <w:wordWrap/>
        <w:overflowPunct/>
        <w:topLinePunct w:val="0"/>
        <w:autoSpaceDE/>
        <w:autoSpaceDN/>
        <w:bidi w:val="0"/>
        <w:spacing w:after="0" w:line="360" w:lineRule="auto"/>
        <w:ind w:right="0" w:rightChars="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在加热炉主系统紧急停炉、正常点停炉、负荷较低等异常情况时，控制系统要设置可靠有效的连锁保护功能。</w:t>
      </w:r>
    </w:p>
    <w:p>
      <w:pPr>
        <w:keepNext w:val="0"/>
        <w:keepLines w:val="0"/>
        <w:pageBreakBefore w:val="0"/>
        <w:numPr>
          <w:ilvl w:val="2"/>
          <w:numId w:val="4"/>
        </w:numPr>
        <w:tabs>
          <w:tab w:val="left" w:pos="0"/>
        </w:tabs>
        <w:kinsoku/>
        <w:wordWrap/>
        <w:overflowPunct/>
        <w:topLinePunct w:val="0"/>
        <w:autoSpaceDE/>
        <w:autoSpaceDN/>
        <w:bidi w:val="0"/>
        <w:spacing w:after="0" w:line="360" w:lineRule="auto"/>
        <w:ind w:right="0" w:rightChars="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反吹快速切断阀关不到位，该阀应自动关闭并报警，若该阀不能关闭到位，则系统应强制关机，同时各部反吹快速切断阀均应自动快速关闭。</w:t>
      </w:r>
    </w:p>
    <w:p>
      <w:pPr>
        <w:keepNext w:val="0"/>
        <w:keepLines w:val="0"/>
        <w:pageBreakBefore w:val="0"/>
        <w:numPr>
          <w:ilvl w:val="2"/>
          <w:numId w:val="4"/>
        </w:numPr>
        <w:tabs>
          <w:tab w:val="left" w:pos="0"/>
        </w:tabs>
        <w:kinsoku/>
        <w:wordWrap/>
        <w:overflowPunct/>
        <w:topLinePunct w:val="0"/>
        <w:autoSpaceDE/>
        <w:autoSpaceDN/>
        <w:bidi w:val="0"/>
        <w:spacing w:after="0" w:line="360" w:lineRule="auto"/>
        <w:ind w:right="0" w:rightChars="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烟气循环系统在循环风机停机后和开机前，应切断安全阀组，并对循环风机前后及安全切断阀组到反吹切断阀中间的管道进行吹扫放散。</w:t>
      </w:r>
    </w:p>
    <w:p>
      <w:pPr>
        <w:keepNext w:val="0"/>
        <w:keepLines w:val="0"/>
        <w:pageBreakBefore w:val="0"/>
        <w:widowControl w:val="0"/>
        <w:numPr>
          <w:ilvl w:val="0"/>
          <w:numId w:val="1"/>
        </w:numPr>
        <w:kinsoku/>
        <w:wordWrap/>
        <w:overflowPunct/>
        <w:topLinePunct w:val="0"/>
        <w:bidi w:val="0"/>
        <w:adjustRightInd/>
        <w:snapToGrid/>
        <w:spacing w:after="0" w:line="360" w:lineRule="auto"/>
        <w:ind w:right="0" w:rightChars="0"/>
        <w:jc w:val="both"/>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主要设备及要求</w:t>
      </w:r>
    </w:p>
    <w:p>
      <w:pPr>
        <w:keepNext w:val="0"/>
        <w:keepLines w:val="0"/>
        <w:pageBreakBefore w:val="0"/>
        <w:widowControl w:val="0"/>
        <w:numPr>
          <w:ilvl w:val="1"/>
          <w:numId w:val="5"/>
        </w:numPr>
        <w:kinsoku/>
        <w:wordWrap/>
        <w:overflowPunct/>
        <w:topLinePunct w:val="0"/>
        <w:bidi w:val="0"/>
        <w:adjustRightInd/>
        <w:snapToGrid/>
        <w:spacing w:after="0" w:line="360" w:lineRule="auto"/>
        <w:ind w:right="0" w:rightChars="0"/>
        <w:jc w:val="both"/>
        <w:textAlignment w:val="auto"/>
        <w:rPr>
          <w:rFonts w:hint="eastAsia" w:ascii="宋体" w:hAnsi="宋体" w:eastAsia="宋体" w:cs="宋体"/>
          <w:b/>
          <w:bCs/>
          <w:color w:val="auto"/>
          <w:sz w:val="24"/>
          <w:highlight w:val="none"/>
        </w:rPr>
      </w:pPr>
      <w:bookmarkStart w:id="16" w:name="_Toc56417409"/>
      <w:r>
        <w:rPr>
          <w:rFonts w:hint="eastAsia" w:ascii="宋体" w:hAnsi="宋体" w:eastAsia="宋体" w:cs="宋体"/>
          <w:b/>
          <w:bCs/>
          <w:color w:val="auto"/>
          <w:sz w:val="24"/>
          <w:highlight w:val="none"/>
        </w:rPr>
        <w:t>新增设备材料</w:t>
      </w:r>
      <w:bookmarkEnd w:id="16"/>
    </w:p>
    <w:p>
      <w:pPr>
        <w:keepNext w:val="0"/>
        <w:keepLines w:val="0"/>
        <w:pageBreakBefore w:val="0"/>
        <w:numPr>
          <w:ilvl w:val="2"/>
          <w:numId w:val="6"/>
        </w:numPr>
        <w:tabs>
          <w:tab w:val="left" w:pos="0"/>
        </w:tabs>
        <w:kinsoku/>
        <w:wordWrap/>
        <w:overflowPunct/>
        <w:topLinePunct w:val="0"/>
        <w:autoSpaceDE/>
        <w:autoSpaceDN/>
        <w:bidi w:val="0"/>
        <w:spacing w:after="0" w:line="360" w:lineRule="auto"/>
        <w:ind w:right="0" w:rightChars="0"/>
        <w:textAlignment w:val="auto"/>
        <w:rPr>
          <w:rFonts w:hint="eastAsia" w:ascii="宋体" w:hAnsi="宋体" w:eastAsia="宋体"/>
          <w:color w:val="auto"/>
          <w:sz w:val="24"/>
          <w:szCs w:val="24"/>
          <w:highlight w:val="none"/>
        </w:rPr>
      </w:pPr>
      <w:bookmarkStart w:id="17" w:name="_Toc523087319"/>
      <w:bookmarkStart w:id="18" w:name="_Toc56417410"/>
      <w:bookmarkStart w:id="19" w:name="_Toc523165487"/>
      <w:bookmarkStart w:id="20" w:name="_Toc56109360"/>
      <w:bookmarkStart w:id="21" w:name="_Toc523158579"/>
      <w:bookmarkStart w:id="22" w:name="_Toc523865537"/>
      <w:bookmarkStart w:id="23" w:name="_Toc522803086"/>
      <w:bookmarkStart w:id="24" w:name="_Toc523865739"/>
      <w:r>
        <w:rPr>
          <w:rFonts w:hint="eastAsia" w:ascii="宋体" w:hAnsi="宋体" w:eastAsia="宋体"/>
          <w:color w:val="auto"/>
          <w:sz w:val="24"/>
          <w:szCs w:val="24"/>
          <w:highlight w:val="none"/>
        </w:rPr>
        <w:t>烟气加压风机</w:t>
      </w:r>
      <w:bookmarkEnd w:id="17"/>
      <w:bookmarkEnd w:id="18"/>
      <w:bookmarkEnd w:id="19"/>
      <w:bookmarkEnd w:id="20"/>
      <w:bookmarkEnd w:id="21"/>
      <w:bookmarkEnd w:id="22"/>
      <w:bookmarkEnd w:id="23"/>
      <w:bookmarkEnd w:id="24"/>
    </w:p>
    <w:p>
      <w:pPr>
        <w:keepNext w:val="0"/>
        <w:keepLines w:val="0"/>
        <w:pageBreakBefore w:val="0"/>
        <w:kinsoku/>
        <w:wordWrap/>
        <w:overflowPunct/>
        <w:topLinePunct w:val="0"/>
        <w:bidi w:val="0"/>
        <w:spacing w:after="0" w:line="360" w:lineRule="auto"/>
        <w:ind w:right="0" w:rightChars="0"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eastAsia="zh-CN"/>
        </w:rPr>
        <w:t>投标方提供风机参数</w:t>
      </w:r>
      <w:r>
        <w:rPr>
          <w:rFonts w:hint="eastAsia" w:asciiTheme="minorEastAsia" w:hAnsiTheme="minorEastAsia" w:eastAsiaTheme="minorEastAsia" w:cstheme="minorEastAsia"/>
          <w:bCs/>
          <w:sz w:val="24"/>
          <w:szCs w:val="24"/>
        </w:rPr>
        <w:t xml:space="preserve">     </w:t>
      </w:r>
    </w:p>
    <w:p>
      <w:pPr>
        <w:keepNext w:val="0"/>
        <w:keepLines w:val="0"/>
        <w:pageBreakBefore w:val="0"/>
        <w:numPr>
          <w:ilvl w:val="2"/>
          <w:numId w:val="6"/>
        </w:numPr>
        <w:tabs>
          <w:tab w:val="left" w:pos="0"/>
        </w:tabs>
        <w:kinsoku/>
        <w:wordWrap/>
        <w:overflowPunct/>
        <w:topLinePunct w:val="0"/>
        <w:autoSpaceDE/>
        <w:autoSpaceDN/>
        <w:bidi w:val="0"/>
        <w:spacing w:after="0" w:line="360" w:lineRule="auto"/>
        <w:ind w:right="0" w:rightChars="0"/>
        <w:textAlignment w:val="auto"/>
        <w:rPr>
          <w:rFonts w:hint="eastAsia" w:ascii="宋体" w:hAnsi="宋体" w:eastAsia="宋体"/>
          <w:color w:val="auto"/>
          <w:sz w:val="24"/>
          <w:szCs w:val="24"/>
          <w:highlight w:val="none"/>
        </w:rPr>
      </w:pPr>
      <w:bookmarkStart w:id="25" w:name="_Toc521065925"/>
      <w:bookmarkStart w:id="26" w:name="_Toc523865740"/>
      <w:bookmarkStart w:id="27" w:name="_Toc521280152"/>
      <w:bookmarkStart w:id="28" w:name="_Toc523865538"/>
      <w:bookmarkStart w:id="29" w:name="_Toc56109361"/>
      <w:bookmarkStart w:id="30" w:name="_Toc523087320"/>
      <w:bookmarkStart w:id="31" w:name="_Toc520901690"/>
      <w:bookmarkStart w:id="32" w:name="_Toc56417411"/>
      <w:bookmarkStart w:id="33" w:name="_Toc520713433"/>
      <w:bookmarkStart w:id="34" w:name="_Toc523165488"/>
      <w:bookmarkStart w:id="35" w:name="_Toc522803087"/>
      <w:bookmarkStart w:id="36" w:name="_Toc523158580"/>
      <w:r>
        <w:rPr>
          <w:rFonts w:hint="eastAsia" w:ascii="宋体" w:hAnsi="宋体" w:eastAsia="宋体"/>
          <w:color w:val="auto"/>
          <w:sz w:val="24"/>
          <w:szCs w:val="24"/>
          <w:highlight w:val="none"/>
        </w:rPr>
        <w:t>支管管道阀门</w:t>
      </w:r>
      <w:bookmarkEnd w:id="25"/>
      <w:bookmarkEnd w:id="26"/>
      <w:bookmarkEnd w:id="27"/>
      <w:bookmarkEnd w:id="28"/>
      <w:bookmarkEnd w:id="29"/>
      <w:bookmarkEnd w:id="30"/>
      <w:bookmarkEnd w:id="31"/>
      <w:bookmarkEnd w:id="32"/>
      <w:bookmarkEnd w:id="33"/>
      <w:bookmarkEnd w:id="34"/>
      <w:bookmarkEnd w:id="35"/>
      <w:bookmarkEnd w:id="36"/>
    </w:p>
    <w:p>
      <w:pPr>
        <w:keepNext w:val="0"/>
        <w:keepLines w:val="0"/>
        <w:pageBreakBefore w:val="0"/>
        <w:kinsoku/>
        <w:wordWrap/>
        <w:overflowPunct/>
        <w:topLinePunct w:val="0"/>
        <w:bidi w:val="0"/>
        <w:spacing w:after="0" w:line="360" w:lineRule="auto"/>
        <w:ind w:right="0" w:rightChars="0" w:firstLine="480" w:firstLineChars="200"/>
        <w:textAlignment w:val="auto"/>
        <w:rPr>
          <w:rFonts w:hint="eastAsia" w:asciiTheme="minorEastAsia" w:hAnsiTheme="minorEastAsia" w:eastAsiaTheme="minorEastAsia" w:cstheme="minorEastAsia"/>
          <w:color w:val="C00000"/>
          <w:sz w:val="24"/>
          <w:szCs w:val="24"/>
        </w:rPr>
      </w:pPr>
      <w:r>
        <w:rPr>
          <w:rFonts w:hint="eastAsia" w:asciiTheme="minorEastAsia" w:hAnsiTheme="minorEastAsia" w:eastAsiaTheme="minorEastAsia" w:cstheme="minorEastAsia"/>
          <w:color w:val="C00000"/>
          <w:sz w:val="24"/>
          <w:szCs w:val="24"/>
        </w:rPr>
        <w:t>将原煤气三通换向阀整体更换，将反吹两通阀与煤气三通换向阀整合设计为三位四通换向阀</w:t>
      </w:r>
      <w:r>
        <w:rPr>
          <w:rFonts w:hint="eastAsia" w:asciiTheme="minorEastAsia" w:hAnsiTheme="minorEastAsia" w:eastAsiaTheme="minorEastAsia" w:cstheme="minorEastAsia"/>
          <w:color w:val="C00000"/>
          <w:sz w:val="24"/>
          <w:szCs w:val="24"/>
          <w:lang w:eastAsia="zh-CN"/>
        </w:rPr>
        <w:t>。</w:t>
      </w:r>
    </w:p>
    <w:p>
      <w:pPr>
        <w:keepNext w:val="0"/>
        <w:keepLines w:val="0"/>
        <w:pageBreakBefore w:val="0"/>
        <w:kinsoku/>
        <w:wordWrap/>
        <w:overflowPunct/>
        <w:topLinePunct w:val="0"/>
        <w:autoSpaceDE/>
        <w:autoSpaceDN/>
        <w:bidi w:val="0"/>
        <w:spacing w:after="0" w:line="360" w:lineRule="auto"/>
        <w:ind w:right="0" w:rightChars="0" w:firstLine="480" w:firstLineChars="200"/>
        <w:textAlignment w:val="auto"/>
        <w:rPr>
          <w:rFonts w:hint="eastAsia" w:asciiTheme="minorEastAsia" w:hAnsiTheme="minorEastAsia" w:eastAsiaTheme="minorEastAsia" w:cstheme="minorEastAsia"/>
          <w:color w:val="C00000"/>
          <w:sz w:val="24"/>
          <w:szCs w:val="24"/>
        </w:rPr>
      </w:pPr>
      <w:r>
        <w:rPr>
          <w:rFonts w:hint="eastAsia" w:asciiTheme="minorEastAsia" w:hAnsiTheme="minorEastAsia" w:eastAsiaTheme="minorEastAsia" w:cstheme="minorEastAsia"/>
          <w:color w:val="C00000"/>
          <w:sz w:val="24"/>
          <w:szCs w:val="24"/>
          <w:lang w:eastAsia="zh-CN"/>
        </w:rPr>
        <w:t>投标方提供</w:t>
      </w:r>
      <w:r>
        <w:rPr>
          <w:rFonts w:hint="eastAsia" w:asciiTheme="minorEastAsia" w:hAnsiTheme="minorEastAsia" w:eastAsiaTheme="minorEastAsia" w:cstheme="minorEastAsia"/>
          <w:color w:val="C00000"/>
          <w:sz w:val="24"/>
          <w:szCs w:val="24"/>
        </w:rPr>
        <w:t>阀门</w:t>
      </w:r>
      <w:r>
        <w:rPr>
          <w:rFonts w:hint="eastAsia" w:asciiTheme="minorEastAsia" w:hAnsiTheme="minorEastAsia" w:eastAsiaTheme="minorEastAsia" w:cstheme="minorEastAsia"/>
          <w:color w:val="C00000"/>
          <w:sz w:val="24"/>
          <w:szCs w:val="24"/>
          <w:lang w:eastAsia="zh-CN"/>
        </w:rPr>
        <w:t>型号</w:t>
      </w:r>
      <w:r>
        <w:rPr>
          <w:rFonts w:hint="eastAsia" w:asciiTheme="minorEastAsia" w:hAnsiTheme="minorEastAsia" w:eastAsiaTheme="minorEastAsia" w:cstheme="minorEastAsia"/>
          <w:color w:val="C00000"/>
          <w:sz w:val="24"/>
          <w:szCs w:val="24"/>
        </w:rPr>
        <w:t>及反吹管道型号</w:t>
      </w:r>
      <w:r>
        <w:rPr>
          <w:rFonts w:hint="eastAsia" w:asciiTheme="minorEastAsia" w:hAnsiTheme="minorEastAsia" w:eastAsiaTheme="minorEastAsia" w:cstheme="minorEastAsia"/>
          <w:color w:val="C00000"/>
          <w:sz w:val="24"/>
          <w:szCs w:val="24"/>
          <w:lang w:eastAsia="zh-CN"/>
        </w:rPr>
        <w:t>。</w:t>
      </w:r>
    </w:p>
    <w:p>
      <w:pPr>
        <w:keepNext w:val="0"/>
        <w:keepLines w:val="0"/>
        <w:pageBreakBefore w:val="0"/>
        <w:numPr>
          <w:ilvl w:val="2"/>
          <w:numId w:val="6"/>
        </w:numPr>
        <w:tabs>
          <w:tab w:val="left" w:pos="0"/>
        </w:tabs>
        <w:kinsoku/>
        <w:wordWrap/>
        <w:overflowPunct/>
        <w:topLinePunct w:val="0"/>
        <w:autoSpaceDE/>
        <w:autoSpaceDN/>
        <w:bidi w:val="0"/>
        <w:spacing w:after="0" w:line="360" w:lineRule="auto"/>
        <w:ind w:right="0" w:rightChars="0"/>
        <w:textAlignment w:val="auto"/>
        <w:rPr>
          <w:rFonts w:hint="eastAsia" w:ascii="宋体" w:hAnsi="宋体" w:eastAsia="宋体"/>
          <w:color w:val="auto"/>
          <w:sz w:val="24"/>
          <w:szCs w:val="24"/>
          <w:highlight w:val="none"/>
        </w:rPr>
      </w:pPr>
      <w:bookmarkStart w:id="37" w:name="_Toc56417412"/>
      <w:bookmarkStart w:id="38" w:name="_Toc521065926"/>
      <w:bookmarkStart w:id="39" w:name="_Toc523165489"/>
      <w:bookmarkStart w:id="40" w:name="_Toc523865741"/>
      <w:bookmarkStart w:id="41" w:name="_Toc56109362"/>
      <w:bookmarkStart w:id="42" w:name="_Toc522803088"/>
      <w:bookmarkStart w:id="43" w:name="_Toc521280153"/>
      <w:bookmarkStart w:id="44" w:name="_Toc523865539"/>
      <w:bookmarkStart w:id="45" w:name="_Toc523158581"/>
      <w:bookmarkStart w:id="46" w:name="_Toc523087321"/>
      <w:bookmarkStart w:id="47" w:name="_Toc520901691"/>
      <w:bookmarkStart w:id="48" w:name="_Toc520713434"/>
      <w:r>
        <w:rPr>
          <w:rFonts w:hint="eastAsia" w:ascii="宋体" w:hAnsi="宋体" w:eastAsia="宋体"/>
          <w:color w:val="auto"/>
          <w:sz w:val="24"/>
          <w:szCs w:val="24"/>
          <w:highlight w:val="none"/>
        </w:rPr>
        <w:t>管道及平台</w:t>
      </w:r>
      <w:bookmarkEnd w:id="37"/>
      <w:bookmarkEnd w:id="38"/>
      <w:bookmarkEnd w:id="39"/>
      <w:bookmarkEnd w:id="40"/>
      <w:bookmarkEnd w:id="41"/>
      <w:bookmarkEnd w:id="42"/>
      <w:bookmarkEnd w:id="43"/>
      <w:bookmarkEnd w:id="44"/>
      <w:bookmarkEnd w:id="45"/>
      <w:bookmarkEnd w:id="46"/>
      <w:bookmarkEnd w:id="47"/>
      <w:bookmarkEnd w:id="48"/>
    </w:p>
    <w:p>
      <w:pPr>
        <w:keepNext w:val="0"/>
        <w:keepLines w:val="0"/>
        <w:pageBreakBefore w:val="0"/>
        <w:widowControl/>
        <w:kinsoku/>
        <w:wordWrap/>
        <w:overflowPunct/>
        <w:topLinePunct w:val="0"/>
        <w:autoSpaceDE/>
        <w:autoSpaceDN/>
        <w:bidi w:val="0"/>
        <w:adjustRightInd w:val="0"/>
        <w:snapToGrid w:val="0"/>
        <w:spacing w:after="0" w:line="360" w:lineRule="auto"/>
        <w:ind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新增主管道及支管道，烟气管道壁厚6mm。</w:t>
      </w:r>
    </w:p>
    <w:p>
      <w:pPr>
        <w:keepNext w:val="0"/>
        <w:keepLines w:val="0"/>
        <w:pageBreakBefore w:val="0"/>
        <w:widowControl/>
        <w:kinsoku/>
        <w:wordWrap/>
        <w:overflowPunct/>
        <w:topLinePunct w:val="0"/>
        <w:autoSpaceDE/>
        <w:autoSpaceDN/>
        <w:bidi w:val="0"/>
        <w:adjustRightInd w:val="0"/>
        <w:snapToGrid w:val="0"/>
        <w:spacing w:after="0" w:line="360" w:lineRule="auto"/>
        <w:ind w:right="0" w:righ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新增阀门检修平台。</w:t>
      </w:r>
    </w:p>
    <w:p>
      <w:pPr>
        <w:keepNext w:val="0"/>
        <w:keepLines w:val="0"/>
        <w:pageBreakBefore w:val="0"/>
        <w:widowControl w:val="0"/>
        <w:numPr>
          <w:ilvl w:val="1"/>
          <w:numId w:val="5"/>
        </w:numPr>
        <w:kinsoku/>
        <w:wordWrap/>
        <w:overflowPunct/>
        <w:topLinePunct w:val="0"/>
        <w:autoSpaceDE/>
        <w:autoSpaceDN/>
        <w:bidi w:val="0"/>
        <w:adjustRightInd/>
        <w:snapToGrid/>
        <w:spacing w:after="0" w:line="360" w:lineRule="auto"/>
        <w:ind w:right="0" w:rightChars="0"/>
        <w:jc w:val="both"/>
        <w:textAlignment w:val="auto"/>
        <w:rPr>
          <w:rFonts w:hint="eastAsia" w:ascii="宋体" w:hAnsi="宋体" w:eastAsia="宋体" w:cs="宋体"/>
          <w:b/>
          <w:bCs/>
          <w:color w:val="auto"/>
          <w:sz w:val="24"/>
          <w:highlight w:val="none"/>
        </w:rPr>
      </w:pPr>
      <w:bookmarkStart w:id="49" w:name="_Toc56417413"/>
      <w:r>
        <w:rPr>
          <w:rFonts w:hint="eastAsia" w:ascii="宋体" w:hAnsi="宋体" w:eastAsia="宋体" w:cs="宋体"/>
          <w:b/>
          <w:bCs/>
          <w:color w:val="auto"/>
          <w:sz w:val="24"/>
          <w:highlight w:val="none"/>
        </w:rPr>
        <w:t>自动化控制系统</w:t>
      </w:r>
      <w:bookmarkEnd w:id="49"/>
    </w:p>
    <w:p>
      <w:pPr>
        <w:keepNext w:val="0"/>
        <w:keepLines w:val="0"/>
        <w:pageBreakBefore w:val="0"/>
        <w:kinsoku/>
        <w:wordWrap/>
        <w:overflowPunct/>
        <w:topLinePunct w:val="0"/>
        <w:autoSpaceDE/>
        <w:autoSpaceDN/>
        <w:bidi w:val="0"/>
        <w:spacing w:after="0" w:line="360" w:lineRule="auto"/>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新增风机变频柜，根据现场实际情况进行设计和布置。</w:t>
      </w:r>
    </w:p>
    <w:p>
      <w:pPr>
        <w:keepNext w:val="0"/>
        <w:keepLines w:val="0"/>
        <w:pageBreakBefore w:val="0"/>
        <w:kinsoku/>
        <w:wordWrap/>
        <w:overflowPunct/>
        <w:topLinePunct w:val="0"/>
        <w:autoSpaceDE/>
        <w:autoSpaceDN/>
        <w:bidi w:val="0"/>
        <w:spacing w:after="0" w:line="360" w:lineRule="auto"/>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新增相关仪表检测系统，新增控制电缆。</w:t>
      </w:r>
    </w:p>
    <w:p>
      <w:pPr>
        <w:keepNext w:val="0"/>
        <w:keepLines w:val="0"/>
        <w:pageBreakBefore w:val="0"/>
        <w:kinsoku/>
        <w:wordWrap/>
        <w:overflowPunct/>
        <w:topLinePunct w:val="0"/>
        <w:autoSpaceDE/>
        <w:autoSpaceDN/>
        <w:bidi w:val="0"/>
        <w:spacing w:after="0" w:line="360" w:lineRule="auto"/>
        <w:ind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优化原PLC系统，增加调整换向控制程序（原有燃烧系统程序需要可读并且有注释）。</w:t>
      </w:r>
    </w:p>
    <w:p>
      <w:pPr>
        <w:keepNext w:val="0"/>
        <w:keepLines w:val="0"/>
        <w:pageBreakBefore w:val="0"/>
        <w:widowControl w:val="0"/>
        <w:numPr>
          <w:ilvl w:val="1"/>
          <w:numId w:val="5"/>
        </w:numPr>
        <w:kinsoku/>
        <w:wordWrap/>
        <w:overflowPunct/>
        <w:topLinePunct w:val="0"/>
        <w:autoSpaceDE/>
        <w:autoSpaceDN/>
        <w:bidi w:val="0"/>
        <w:adjustRightInd/>
        <w:snapToGrid/>
        <w:spacing w:after="0" w:line="360" w:lineRule="auto"/>
        <w:ind w:right="0" w:rightChars="0"/>
        <w:jc w:val="both"/>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其他要求</w:t>
      </w:r>
    </w:p>
    <w:p>
      <w:pPr>
        <w:keepNext w:val="0"/>
        <w:keepLines w:val="0"/>
        <w:pageBreakBefore w:val="0"/>
        <w:numPr>
          <w:ilvl w:val="2"/>
          <w:numId w:val="7"/>
        </w:numPr>
        <w:tabs>
          <w:tab w:val="left" w:pos="0"/>
        </w:tabs>
        <w:kinsoku/>
        <w:wordWrap/>
        <w:overflowPunct/>
        <w:topLinePunct w:val="0"/>
        <w:autoSpaceDE/>
        <w:autoSpaceDN/>
        <w:bidi w:val="0"/>
        <w:spacing w:after="0" w:line="360" w:lineRule="auto"/>
        <w:ind w:right="0" w:rightChars="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所有投标方供货的设备都涂有底漆及二次面漆加以防护，通用产品出厂涂有最终面漆。主要设施及附属设施的涂装须按《涂装通用技术条件》JB/T5000.12-2018执行。涂漆前必须认真仔细地清除锈蚀，手工除锈要达到st3级，喷射除锈要达到sa2.5级。涂漆道次：涂底漆2次，2次面漆。平膜总厚度为100μm（干膜）。</w:t>
      </w:r>
    </w:p>
    <w:p>
      <w:pPr>
        <w:keepNext w:val="0"/>
        <w:keepLines w:val="0"/>
        <w:pageBreakBefore w:val="0"/>
        <w:numPr>
          <w:ilvl w:val="2"/>
          <w:numId w:val="7"/>
        </w:numPr>
        <w:tabs>
          <w:tab w:val="left" w:pos="0"/>
        </w:tabs>
        <w:kinsoku/>
        <w:wordWrap/>
        <w:overflowPunct/>
        <w:topLinePunct w:val="0"/>
        <w:autoSpaceDE/>
        <w:autoSpaceDN/>
        <w:bidi w:val="0"/>
        <w:spacing w:after="0" w:line="360" w:lineRule="auto"/>
        <w:ind w:right="0" w:rightChars="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本项目所选用材料，采购的标准、配套件应具有检验合格证明，并符合国家标准的规定。</w:t>
      </w:r>
    </w:p>
    <w:p>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right="0" w:rightChars="0"/>
        <w:jc w:val="both"/>
        <w:textAlignment w:val="auto"/>
        <w:outlineLvl w:val="9"/>
        <w:rPr>
          <w:rFonts w:ascii="宋体" w:hAnsi="宋体" w:eastAsia="宋体" w:cs="宋体"/>
          <w:b/>
          <w:bCs/>
          <w:color w:val="auto"/>
          <w:sz w:val="24"/>
          <w:highlight w:val="none"/>
        </w:rPr>
      </w:pPr>
      <w:r>
        <w:rPr>
          <w:rFonts w:hint="eastAsia" w:ascii="宋体" w:hAnsi="宋体" w:eastAsia="宋体" w:cs="宋体"/>
          <w:b/>
          <w:bCs/>
          <w:color w:val="auto"/>
          <w:sz w:val="24"/>
          <w:highlight w:val="none"/>
        </w:rPr>
        <w:t>双方负责范围</w:t>
      </w:r>
    </w:p>
    <w:p>
      <w:pPr>
        <w:keepNext w:val="0"/>
        <w:keepLines w:val="0"/>
        <w:pageBreakBefore w:val="0"/>
        <w:widowControl w:val="0"/>
        <w:numPr>
          <w:ilvl w:val="1"/>
          <w:numId w:val="8"/>
        </w:numPr>
        <w:kinsoku/>
        <w:wordWrap/>
        <w:overflowPunct/>
        <w:topLinePunct w:val="0"/>
        <w:autoSpaceDE/>
        <w:autoSpaceDN/>
        <w:bidi w:val="0"/>
        <w:adjustRightInd/>
        <w:snapToGrid/>
        <w:spacing w:after="0" w:line="360" w:lineRule="auto"/>
        <w:ind w:right="0" w:rightChars="0"/>
        <w:jc w:val="both"/>
        <w:textAlignment w:val="auto"/>
        <w:outlineLvl w:val="9"/>
        <w:rPr>
          <w:rFonts w:ascii="宋体" w:hAnsi="宋体" w:eastAsia="宋体" w:cs="宋体"/>
          <w:b/>
          <w:bCs/>
          <w:color w:val="auto"/>
          <w:sz w:val="24"/>
          <w:highlight w:val="none"/>
        </w:rPr>
      </w:pPr>
      <w:r>
        <w:rPr>
          <w:rFonts w:hint="eastAsia" w:ascii="宋体" w:hAnsi="宋体" w:eastAsia="宋体" w:cs="宋体"/>
          <w:b/>
          <w:bCs/>
          <w:color w:val="auto"/>
          <w:sz w:val="24"/>
          <w:highlight w:val="none"/>
        </w:rPr>
        <w:t>投标方负责范围</w:t>
      </w:r>
    </w:p>
    <w:p>
      <w:pPr>
        <w:keepNext w:val="0"/>
        <w:keepLines w:val="0"/>
        <w:pageBreakBefore w:val="0"/>
        <w:numPr>
          <w:ilvl w:val="2"/>
          <w:numId w:val="9"/>
        </w:numPr>
        <w:tabs>
          <w:tab w:val="left" w:pos="0"/>
        </w:tabs>
        <w:kinsoku/>
        <w:wordWrap/>
        <w:overflowPunct/>
        <w:topLinePunct w:val="0"/>
        <w:autoSpaceDE/>
        <w:autoSpaceDN/>
        <w:bidi w:val="0"/>
        <w:spacing w:after="0" w:line="360" w:lineRule="auto"/>
        <w:ind w:right="0" w:rightChars="0"/>
        <w:textAlignment w:val="auto"/>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投标方</w:t>
      </w:r>
      <w:r>
        <w:rPr>
          <w:rFonts w:hint="eastAsia" w:ascii="宋体" w:hAnsi="宋体" w:eastAsia="宋体"/>
          <w:color w:val="auto"/>
          <w:sz w:val="24"/>
          <w:szCs w:val="24"/>
          <w:highlight w:val="none"/>
        </w:rPr>
        <w:t>向</w:t>
      </w:r>
      <w:r>
        <w:rPr>
          <w:rFonts w:hint="eastAsia" w:ascii="宋体" w:hAnsi="宋体" w:eastAsia="宋体"/>
          <w:color w:val="auto"/>
          <w:sz w:val="24"/>
          <w:szCs w:val="24"/>
          <w:highlight w:val="none"/>
          <w:lang w:eastAsia="zh-CN"/>
        </w:rPr>
        <w:t>招标方</w:t>
      </w:r>
      <w:r>
        <w:rPr>
          <w:rFonts w:hint="eastAsia" w:ascii="宋体" w:hAnsi="宋体" w:eastAsia="宋体"/>
          <w:color w:val="auto"/>
          <w:sz w:val="24"/>
          <w:szCs w:val="24"/>
          <w:highlight w:val="none"/>
        </w:rPr>
        <w:t>提供加热炉烟气CO减排改造系统，</w:t>
      </w:r>
      <w:r>
        <w:rPr>
          <w:rFonts w:hint="eastAsia" w:ascii="宋体" w:hAnsi="宋体" w:eastAsia="宋体"/>
          <w:color w:val="C00000"/>
          <w:sz w:val="24"/>
          <w:szCs w:val="24"/>
          <w:highlight w:val="none"/>
        </w:rPr>
        <w:t>保证从烟气排出的CO含量符合项目技术要求。</w:t>
      </w:r>
      <w:r>
        <w:rPr>
          <w:rFonts w:hint="eastAsia" w:ascii="宋体" w:hAnsi="宋体" w:eastAsia="宋体"/>
          <w:color w:val="auto"/>
          <w:sz w:val="24"/>
          <w:szCs w:val="24"/>
          <w:highlight w:val="none"/>
        </w:rPr>
        <w:t>本工程为交钥匙工程。</w:t>
      </w:r>
    </w:p>
    <w:p>
      <w:pPr>
        <w:keepNext w:val="0"/>
        <w:keepLines w:val="0"/>
        <w:pageBreakBefore w:val="0"/>
        <w:numPr>
          <w:ilvl w:val="2"/>
          <w:numId w:val="9"/>
        </w:numPr>
        <w:tabs>
          <w:tab w:val="left" w:pos="0"/>
        </w:tabs>
        <w:kinsoku/>
        <w:wordWrap/>
        <w:overflowPunct/>
        <w:topLinePunct w:val="0"/>
        <w:autoSpaceDE/>
        <w:autoSpaceDN/>
        <w:bidi w:val="0"/>
        <w:spacing w:after="0" w:line="360" w:lineRule="auto"/>
        <w:ind w:right="0" w:rightChars="0"/>
        <w:textAlignment w:val="auto"/>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投标方</w:t>
      </w:r>
      <w:r>
        <w:rPr>
          <w:rFonts w:hint="eastAsia" w:ascii="宋体" w:hAnsi="宋体" w:eastAsia="宋体"/>
          <w:color w:val="auto"/>
          <w:sz w:val="24"/>
          <w:szCs w:val="24"/>
          <w:highlight w:val="none"/>
        </w:rPr>
        <w:t>对加热炉的基本数据、基本设计、详细设计负责；并对设备的制造、安装、调试、验收、培训以及热负荷试车负责。</w:t>
      </w:r>
    </w:p>
    <w:p>
      <w:pPr>
        <w:keepNext w:val="0"/>
        <w:keepLines w:val="0"/>
        <w:pageBreakBefore w:val="0"/>
        <w:numPr>
          <w:ilvl w:val="2"/>
          <w:numId w:val="9"/>
        </w:numPr>
        <w:tabs>
          <w:tab w:val="left" w:pos="0"/>
        </w:tabs>
        <w:kinsoku/>
        <w:wordWrap/>
        <w:overflowPunct/>
        <w:topLinePunct w:val="0"/>
        <w:autoSpaceDE/>
        <w:autoSpaceDN/>
        <w:bidi w:val="0"/>
        <w:spacing w:after="0" w:line="360" w:lineRule="auto"/>
        <w:ind w:right="0" w:rightChars="0"/>
        <w:textAlignment w:val="auto"/>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投标方</w:t>
      </w:r>
      <w:r>
        <w:rPr>
          <w:rFonts w:hint="eastAsia" w:ascii="宋体" w:hAnsi="宋体" w:eastAsia="宋体"/>
          <w:color w:val="auto"/>
          <w:sz w:val="24"/>
          <w:szCs w:val="24"/>
          <w:highlight w:val="none"/>
        </w:rPr>
        <w:t>负责对加热炉燃烧系统CO减排改造承包范围内容的实施。实施内容包括加热炉设备材料的采购、标准设备的供应、设备制造及出厂调试验收、组织工程项目的现场实施、完成设备安装、管线施工等，完成加热炉CO减排改造系统整体系统冷、热负荷调试工作。</w:t>
      </w:r>
    </w:p>
    <w:p>
      <w:pPr>
        <w:keepNext w:val="0"/>
        <w:keepLines w:val="0"/>
        <w:pageBreakBefore w:val="0"/>
        <w:numPr>
          <w:ilvl w:val="2"/>
          <w:numId w:val="9"/>
        </w:numPr>
        <w:tabs>
          <w:tab w:val="left" w:pos="0"/>
        </w:tabs>
        <w:kinsoku/>
        <w:wordWrap/>
        <w:overflowPunct/>
        <w:topLinePunct w:val="0"/>
        <w:autoSpaceDE/>
        <w:autoSpaceDN/>
        <w:bidi w:val="0"/>
        <w:spacing w:after="0" w:line="360" w:lineRule="auto"/>
        <w:ind w:right="0" w:rightChars="0"/>
        <w:textAlignment w:val="auto"/>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投标方</w:t>
      </w:r>
      <w:r>
        <w:rPr>
          <w:rFonts w:hint="eastAsia" w:ascii="宋体" w:hAnsi="宋体" w:eastAsia="宋体"/>
          <w:color w:val="auto"/>
          <w:sz w:val="24"/>
          <w:szCs w:val="24"/>
          <w:highlight w:val="none"/>
        </w:rPr>
        <w:t>保证由其实施的工程项目承包部分所有设备运转正常，达到合同双方确认的各项技术指标及相关技术标准。</w:t>
      </w:r>
    </w:p>
    <w:p>
      <w:pPr>
        <w:keepNext w:val="0"/>
        <w:keepLines w:val="0"/>
        <w:pageBreakBefore w:val="0"/>
        <w:numPr>
          <w:ilvl w:val="2"/>
          <w:numId w:val="9"/>
        </w:numPr>
        <w:tabs>
          <w:tab w:val="left" w:pos="0"/>
        </w:tabs>
        <w:kinsoku/>
        <w:wordWrap/>
        <w:overflowPunct/>
        <w:topLinePunct w:val="0"/>
        <w:autoSpaceDE/>
        <w:autoSpaceDN/>
        <w:bidi w:val="0"/>
        <w:spacing w:after="0" w:line="360" w:lineRule="auto"/>
        <w:ind w:right="0" w:rightChars="0"/>
        <w:textAlignment w:val="auto"/>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投标方</w:t>
      </w:r>
      <w:r>
        <w:rPr>
          <w:rFonts w:hint="eastAsia" w:ascii="宋体" w:hAnsi="宋体" w:eastAsia="宋体"/>
          <w:color w:val="auto"/>
          <w:sz w:val="24"/>
          <w:szCs w:val="24"/>
          <w:highlight w:val="none"/>
        </w:rPr>
        <w:t>严格遵守合同有关规定，配合</w:t>
      </w:r>
      <w:r>
        <w:rPr>
          <w:rFonts w:hint="eastAsia" w:ascii="宋体" w:hAnsi="宋体" w:eastAsia="宋体"/>
          <w:color w:val="auto"/>
          <w:sz w:val="24"/>
          <w:szCs w:val="24"/>
          <w:highlight w:val="none"/>
          <w:lang w:eastAsia="zh-CN"/>
        </w:rPr>
        <w:t>招标方</w:t>
      </w:r>
      <w:r>
        <w:rPr>
          <w:rFonts w:hint="eastAsia" w:ascii="宋体" w:hAnsi="宋体" w:eastAsia="宋体"/>
          <w:color w:val="auto"/>
          <w:sz w:val="24"/>
          <w:szCs w:val="24"/>
          <w:highlight w:val="none"/>
        </w:rPr>
        <w:t>进行设备性能考核等工作的实施。</w:t>
      </w:r>
    </w:p>
    <w:p>
      <w:pPr>
        <w:keepNext w:val="0"/>
        <w:keepLines w:val="0"/>
        <w:pageBreakBefore w:val="0"/>
        <w:numPr>
          <w:ilvl w:val="2"/>
          <w:numId w:val="9"/>
        </w:numPr>
        <w:tabs>
          <w:tab w:val="left" w:pos="0"/>
        </w:tabs>
        <w:kinsoku/>
        <w:wordWrap/>
        <w:overflowPunct/>
        <w:topLinePunct w:val="0"/>
        <w:autoSpaceDE/>
        <w:autoSpaceDN/>
        <w:bidi w:val="0"/>
        <w:spacing w:after="0" w:line="360" w:lineRule="auto"/>
        <w:ind w:right="0" w:rightChars="0"/>
        <w:textAlignment w:val="auto"/>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投标方</w:t>
      </w:r>
      <w:r>
        <w:rPr>
          <w:rFonts w:hint="eastAsia" w:ascii="宋体" w:hAnsi="宋体" w:eastAsia="宋体"/>
          <w:color w:val="auto"/>
          <w:sz w:val="24"/>
          <w:szCs w:val="24"/>
          <w:highlight w:val="none"/>
        </w:rPr>
        <w:t>的承包范围是包含加热炉CO减排改造项目全部的设备、管线、平台、控制及自动化系统的基本设计、详细设计，并向</w:t>
      </w:r>
      <w:r>
        <w:rPr>
          <w:rFonts w:hint="eastAsia" w:ascii="宋体" w:hAnsi="宋体" w:eastAsia="宋体"/>
          <w:color w:val="auto"/>
          <w:sz w:val="24"/>
          <w:szCs w:val="24"/>
          <w:highlight w:val="none"/>
          <w:lang w:eastAsia="zh-CN"/>
        </w:rPr>
        <w:t>招标方</w:t>
      </w:r>
      <w:r>
        <w:rPr>
          <w:rFonts w:hint="eastAsia" w:ascii="宋体" w:hAnsi="宋体" w:eastAsia="宋体"/>
          <w:color w:val="auto"/>
          <w:sz w:val="24"/>
          <w:szCs w:val="24"/>
          <w:highlight w:val="none"/>
        </w:rPr>
        <w:t>提供相应的技术资料。具体内容如下：</w:t>
      </w:r>
    </w:p>
    <w:p>
      <w:pPr>
        <w:keepNext w:val="0"/>
        <w:keepLines w:val="0"/>
        <w:pageBreakBefore w:val="0"/>
        <w:numPr>
          <w:ilvl w:val="0"/>
          <w:numId w:val="10"/>
        </w:numPr>
        <w:tabs>
          <w:tab w:val="left" w:pos="0"/>
        </w:tabs>
        <w:kinsoku/>
        <w:wordWrap/>
        <w:overflowPunct/>
        <w:topLinePunct w:val="0"/>
        <w:autoSpaceDE/>
        <w:autoSpaceDN/>
        <w:bidi w:val="0"/>
        <w:spacing w:after="0" w:line="360" w:lineRule="auto"/>
        <w:ind w:left="0" w:leftChars="0" w:right="0" w:rightChars="0"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工艺平面布置设计图纸。</w:t>
      </w:r>
    </w:p>
    <w:p>
      <w:pPr>
        <w:keepNext w:val="0"/>
        <w:keepLines w:val="0"/>
        <w:pageBreakBefore w:val="0"/>
        <w:numPr>
          <w:ilvl w:val="0"/>
          <w:numId w:val="10"/>
        </w:numPr>
        <w:tabs>
          <w:tab w:val="left" w:pos="0"/>
        </w:tabs>
        <w:kinsoku/>
        <w:wordWrap/>
        <w:overflowPunct/>
        <w:topLinePunct w:val="0"/>
        <w:autoSpaceDE/>
        <w:autoSpaceDN/>
        <w:bidi w:val="0"/>
        <w:spacing w:after="0" w:line="360" w:lineRule="auto"/>
        <w:ind w:left="0" w:leftChars="0" w:right="0" w:rightChars="0"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烟气加压风机、换向阀、阀门等供货和安装及相关设备合格证。</w:t>
      </w:r>
    </w:p>
    <w:p>
      <w:pPr>
        <w:keepNext w:val="0"/>
        <w:keepLines w:val="0"/>
        <w:pageBreakBefore w:val="0"/>
        <w:numPr>
          <w:ilvl w:val="0"/>
          <w:numId w:val="10"/>
        </w:numPr>
        <w:tabs>
          <w:tab w:val="left" w:pos="0"/>
        </w:tabs>
        <w:kinsoku/>
        <w:wordWrap/>
        <w:overflowPunct/>
        <w:topLinePunct w:val="0"/>
        <w:autoSpaceDE/>
        <w:autoSpaceDN/>
        <w:bidi w:val="0"/>
        <w:spacing w:after="0" w:line="360" w:lineRule="auto"/>
        <w:ind w:left="0" w:leftChars="0" w:right="0" w:rightChars="0"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烟气管道及支架、换向阀平台等的供货和施工。</w:t>
      </w:r>
    </w:p>
    <w:p>
      <w:pPr>
        <w:keepNext w:val="0"/>
        <w:keepLines w:val="0"/>
        <w:pageBreakBefore w:val="0"/>
        <w:numPr>
          <w:ilvl w:val="0"/>
          <w:numId w:val="10"/>
        </w:numPr>
        <w:tabs>
          <w:tab w:val="left" w:pos="0"/>
        </w:tabs>
        <w:kinsoku/>
        <w:wordWrap/>
        <w:overflowPunct/>
        <w:topLinePunct w:val="0"/>
        <w:autoSpaceDE/>
        <w:autoSpaceDN/>
        <w:bidi w:val="0"/>
        <w:spacing w:after="0" w:line="360" w:lineRule="auto"/>
        <w:ind w:left="0" w:leftChars="0" w:right="0" w:rightChars="0"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风机基础、钢柱基础、支架基础的设计（</w:t>
      </w:r>
      <w:r>
        <w:rPr>
          <w:rFonts w:hint="eastAsia" w:ascii="宋体" w:hAnsi="宋体" w:eastAsia="宋体"/>
          <w:color w:val="auto"/>
          <w:sz w:val="24"/>
          <w:szCs w:val="24"/>
          <w:highlight w:val="none"/>
          <w:lang w:eastAsia="zh-CN"/>
        </w:rPr>
        <w:t>招标方</w:t>
      </w:r>
      <w:r>
        <w:rPr>
          <w:rFonts w:hint="eastAsia" w:ascii="宋体" w:hAnsi="宋体" w:eastAsia="宋体"/>
          <w:color w:val="auto"/>
          <w:sz w:val="24"/>
          <w:szCs w:val="24"/>
          <w:highlight w:val="none"/>
        </w:rPr>
        <w:t>负责供货和施工）。</w:t>
      </w:r>
    </w:p>
    <w:p>
      <w:pPr>
        <w:keepNext w:val="0"/>
        <w:keepLines w:val="0"/>
        <w:pageBreakBefore w:val="0"/>
        <w:numPr>
          <w:ilvl w:val="0"/>
          <w:numId w:val="10"/>
        </w:numPr>
        <w:tabs>
          <w:tab w:val="left" w:pos="0"/>
        </w:tabs>
        <w:kinsoku/>
        <w:wordWrap/>
        <w:overflowPunct/>
        <w:topLinePunct w:val="0"/>
        <w:autoSpaceDE/>
        <w:autoSpaceDN/>
        <w:bidi w:val="0"/>
        <w:spacing w:after="0" w:line="360" w:lineRule="auto"/>
        <w:ind w:left="0" w:leftChars="0" w:right="0" w:rightChars="0"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风机供电开关的供货和施工，若柜内空间不够则新增供电柜。</w:t>
      </w:r>
    </w:p>
    <w:p>
      <w:pPr>
        <w:keepNext w:val="0"/>
        <w:keepLines w:val="0"/>
        <w:pageBreakBefore w:val="0"/>
        <w:numPr>
          <w:ilvl w:val="0"/>
          <w:numId w:val="10"/>
        </w:numPr>
        <w:tabs>
          <w:tab w:val="left" w:pos="0"/>
        </w:tabs>
        <w:kinsoku/>
        <w:wordWrap/>
        <w:overflowPunct/>
        <w:topLinePunct w:val="0"/>
        <w:autoSpaceDE/>
        <w:autoSpaceDN/>
        <w:bidi w:val="0"/>
        <w:spacing w:after="0" w:line="360" w:lineRule="auto"/>
        <w:ind w:left="0" w:leftChars="0" w:right="0" w:rightChars="0"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仪表自动化的设计、施工、调试。</w:t>
      </w:r>
    </w:p>
    <w:p>
      <w:pPr>
        <w:keepNext w:val="0"/>
        <w:keepLines w:val="0"/>
        <w:pageBreakBefore w:val="0"/>
        <w:numPr>
          <w:ilvl w:val="0"/>
          <w:numId w:val="10"/>
        </w:numPr>
        <w:tabs>
          <w:tab w:val="left" w:pos="0"/>
        </w:tabs>
        <w:kinsoku/>
        <w:wordWrap/>
        <w:overflowPunct/>
        <w:topLinePunct w:val="0"/>
        <w:autoSpaceDE/>
        <w:autoSpaceDN/>
        <w:bidi w:val="0"/>
        <w:spacing w:after="0" w:line="360" w:lineRule="auto"/>
        <w:ind w:left="0" w:leftChars="0" w:right="0" w:rightChars="0"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工程范围内全部系统的调试及整体系统的热试车。</w:t>
      </w:r>
    </w:p>
    <w:p>
      <w:pPr>
        <w:keepNext w:val="0"/>
        <w:keepLines w:val="0"/>
        <w:pageBreakBefore w:val="0"/>
        <w:numPr>
          <w:ilvl w:val="0"/>
          <w:numId w:val="10"/>
        </w:numPr>
        <w:tabs>
          <w:tab w:val="left" w:pos="0"/>
        </w:tabs>
        <w:kinsoku/>
        <w:wordWrap/>
        <w:overflowPunct/>
        <w:topLinePunct w:val="0"/>
        <w:autoSpaceDE/>
        <w:autoSpaceDN/>
        <w:bidi w:val="0"/>
        <w:spacing w:after="0" w:line="360" w:lineRule="auto"/>
        <w:ind w:left="0" w:leftChars="0" w:right="0" w:rightChars="0"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负责</w:t>
      </w:r>
      <w:r>
        <w:rPr>
          <w:rFonts w:hint="eastAsia" w:ascii="宋体" w:hAnsi="宋体" w:eastAsia="宋体"/>
          <w:color w:val="auto"/>
          <w:sz w:val="24"/>
          <w:szCs w:val="24"/>
          <w:highlight w:val="none"/>
          <w:lang w:eastAsia="zh-CN"/>
        </w:rPr>
        <w:t>招标方</w:t>
      </w:r>
      <w:r>
        <w:rPr>
          <w:rFonts w:hint="eastAsia" w:ascii="宋体" w:hAnsi="宋体" w:eastAsia="宋体"/>
          <w:color w:val="auto"/>
          <w:sz w:val="24"/>
          <w:szCs w:val="24"/>
          <w:highlight w:val="none"/>
        </w:rPr>
        <w:t>人员培训及从合同生效起至质保期(质保期为一年)结束的全程技术服务，并且对</w:t>
      </w:r>
      <w:r>
        <w:rPr>
          <w:rFonts w:hint="eastAsia" w:ascii="宋体" w:hAnsi="宋体" w:eastAsia="宋体"/>
          <w:color w:val="auto"/>
          <w:sz w:val="24"/>
          <w:szCs w:val="24"/>
          <w:highlight w:val="none"/>
          <w:lang w:eastAsia="zh-CN"/>
        </w:rPr>
        <w:t>招标方</w:t>
      </w:r>
      <w:r>
        <w:rPr>
          <w:rFonts w:hint="eastAsia" w:ascii="宋体" w:hAnsi="宋体" w:eastAsia="宋体"/>
          <w:color w:val="auto"/>
          <w:sz w:val="24"/>
          <w:szCs w:val="24"/>
          <w:highlight w:val="none"/>
        </w:rPr>
        <w:t>在使用期间所进行的技术开发、技术调整提供全面的技术支持。</w:t>
      </w:r>
    </w:p>
    <w:p>
      <w:pPr>
        <w:keepNext w:val="0"/>
        <w:keepLines w:val="0"/>
        <w:pageBreakBefore w:val="0"/>
        <w:widowControl w:val="0"/>
        <w:numPr>
          <w:ilvl w:val="1"/>
          <w:numId w:val="8"/>
        </w:numPr>
        <w:kinsoku/>
        <w:wordWrap/>
        <w:overflowPunct/>
        <w:topLinePunct w:val="0"/>
        <w:autoSpaceDE/>
        <w:autoSpaceDN/>
        <w:bidi w:val="0"/>
        <w:adjustRightInd/>
        <w:snapToGrid/>
        <w:spacing w:after="0" w:line="360" w:lineRule="auto"/>
        <w:ind w:right="0" w:rightChars="0"/>
        <w:jc w:val="both"/>
        <w:textAlignment w:val="auto"/>
        <w:outlineLvl w:val="9"/>
        <w:rPr>
          <w:rFonts w:ascii="宋体" w:hAnsi="宋体" w:eastAsia="宋体" w:cs="宋体"/>
          <w:b/>
          <w:bCs/>
          <w:color w:val="auto"/>
          <w:sz w:val="24"/>
          <w:highlight w:val="none"/>
        </w:rPr>
      </w:pPr>
      <w:r>
        <w:rPr>
          <w:rFonts w:hint="eastAsia" w:ascii="宋体" w:hAnsi="宋体" w:eastAsia="宋体" w:cs="宋体"/>
          <w:b/>
          <w:bCs/>
          <w:color w:val="auto"/>
          <w:sz w:val="24"/>
          <w:highlight w:val="none"/>
        </w:rPr>
        <w:t>招标方负责范围</w:t>
      </w:r>
    </w:p>
    <w:p>
      <w:pPr>
        <w:keepNext w:val="0"/>
        <w:keepLines w:val="0"/>
        <w:pageBreakBefore w:val="0"/>
        <w:numPr>
          <w:ilvl w:val="2"/>
          <w:numId w:val="11"/>
        </w:numPr>
        <w:tabs>
          <w:tab w:val="left" w:pos="0"/>
        </w:tabs>
        <w:kinsoku/>
        <w:wordWrap/>
        <w:overflowPunct/>
        <w:topLinePunct w:val="0"/>
        <w:autoSpaceDE/>
        <w:autoSpaceDN/>
        <w:bidi w:val="0"/>
        <w:spacing w:after="0" w:line="360" w:lineRule="auto"/>
        <w:ind w:right="0" w:rightChars="0"/>
        <w:textAlignment w:val="auto"/>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炉区所有土建基础的供货与施工。包括钢结构立柱基础、管道</w:t>
      </w:r>
      <w:r>
        <w:rPr>
          <w:rFonts w:hint="eastAsia" w:ascii="宋体" w:hAnsi="宋体" w:eastAsia="宋体"/>
          <w:color w:val="auto"/>
          <w:sz w:val="24"/>
          <w:szCs w:val="24"/>
          <w:highlight w:val="none"/>
          <w:lang w:val="en-US" w:eastAsia="zh-CN"/>
        </w:rPr>
        <w:t xml:space="preserve"> </w:t>
      </w:r>
      <w:r>
        <w:rPr>
          <w:rFonts w:hint="eastAsia" w:ascii="宋体" w:hAnsi="宋体" w:eastAsia="宋体"/>
          <w:color w:val="auto"/>
          <w:sz w:val="24"/>
          <w:szCs w:val="24"/>
          <w:highlight w:val="none"/>
        </w:rPr>
        <w:t>支架</w:t>
      </w:r>
      <w:bookmarkStart w:id="62" w:name="_GoBack"/>
      <w:r>
        <w:rPr>
          <w:rFonts w:hint="eastAsia" w:ascii="宋体" w:hAnsi="宋体" w:eastAsia="宋体"/>
          <w:color w:val="auto"/>
          <w:sz w:val="24"/>
          <w:szCs w:val="24"/>
          <w:highlight w:val="none"/>
        </w:rPr>
        <w:t>基础、风机基础等。</w:t>
      </w:r>
    </w:p>
    <w:bookmarkEnd w:id="62"/>
    <w:p>
      <w:pPr>
        <w:keepNext w:val="0"/>
        <w:keepLines w:val="0"/>
        <w:pageBreakBefore w:val="0"/>
        <w:numPr>
          <w:ilvl w:val="2"/>
          <w:numId w:val="11"/>
        </w:numPr>
        <w:tabs>
          <w:tab w:val="left" w:pos="0"/>
        </w:tabs>
        <w:kinsoku/>
        <w:wordWrap/>
        <w:overflowPunct/>
        <w:topLinePunct w:val="0"/>
        <w:autoSpaceDE/>
        <w:autoSpaceDN/>
        <w:bidi w:val="0"/>
        <w:spacing w:after="0" w:line="360" w:lineRule="auto"/>
        <w:ind w:right="0" w:rightChars="0"/>
        <w:textAlignment w:val="auto"/>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加热炉工程交接点以外的各种公辅介质及设施（本项目主要指水冷管道和氮气吹扫管道），交接点前带一道阀门或从原加热炉系统管道就近连接。</w:t>
      </w:r>
    </w:p>
    <w:p>
      <w:pPr>
        <w:keepNext w:val="0"/>
        <w:keepLines w:val="0"/>
        <w:pageBreakBefore w:val="0"/>
        <w:numPr>
          <w:ilvl w:val="2"/>
          <w:numId w:val="11"/>
        </w:numPr>
        <w:tabs>
          <w:tab w:val="left" w:pos="0"/>
        </w:tabs>
        <w:kinsoku/>
        <w:wordWrap/>
        <w:overflowPunct/>
        <w:topLinePunct w:val="0"/>
        <w:autoSpaceDE/>
        <w:autoSpaceDN/>
        <w:bidi w:val="0"/>
        <w:spacing w:after="0" w:line="360" w:lineRule="auto"/>
        <w:ind w:right="0" w:rightChars="0"/>
        <w:textAlignment w:val="auto"/>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烟气加压风机的供电，包括动力电缆供货和敷设。</w:t>
      </w:r>
    </w:p>
    <w:p>
      <w:pPr>
        <w:keepNext w:val="0"/>
        <w:keepLines w:val="0"/>
        <w:pageBreakBefore w:val="0"/>
        <w:numPr>
          <w:ilvl w:val="2"/>
          <w:numId w:val="11"/>
        </w:numPr>
        <w:tabs>
          <w:tab w:val="left" w:pos="0"/>
        </w:tabs>
        <w:kinsoku/>
        <w:wordWrap/>
        <w:overflowPunct/>
        <w:topLinePunct w:val="0"/>
        <w:autoSpaceDE/>
        <w:autoSpaceDN/>
        <w:bidi w:val="0"/>
        <w:spacing w:after="0" w:line="360" w:lineRule="auto"/>
        <w:ind w:right="0" w:rightChars="0"/>
        <w:textAlignment w:val="auto"/>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加热炉调试用的原料、消耗性介质等。</w:t>
      </w:r>
    </w:p>
    <w:p>
      <w:pPr>
        <w:keepNext w:val="0"/>
        <w:keepLines w:val="0"/>
        <w:pageBreakBefore w:val="0"/>
        <w:numPr>
          <w:ilvl w:val="2"/>
          <w:numId w:val="11"/>
        </w:numPr>
        <w:tabs>
          <w:tab w:val="left" w:pos="0"/>
        </w:tabs>
        <w:kinsoku/>
        <w:wordWrap/>
        <w:overflowPunct/>
        <w:topLinePunct w:val="0"/>
        <w:autoSpaceDE/>
        <w:autoSpaceDN/>
        <w:bidi w:val="0"/>
        <w:spacing w:after="0" w:line="360" w:lineRule="auto"/>
        <w:ind w:right="0" w:rightChars="0"/>
        <w:textAlignment w:val="auto"/>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提供可编辑带注释的自动化程序及画面。</w:t>
      </w:r>
    </w:p>
    <w:p>
      <w:pPr>
        <w:keepNext w:val="0"/>
        <w:keepLines w:val="0"/>
        <w:pageBreakBefore w:val="0"/>
        <w:numPr>
          <w:ilvl w:val="2"/>
          <w:numId w:val="11"/>
        </w:numPr>
        <w:tabs>
          <w:tab w:val="left" w:pos="0"/>
        </w:tabs>
        <w:kinsoku/>
        <w:wordWrap/>
        <w:overflowPunct/>
        <w:topLinePunct w:val="0"/>
        <w:autoSpaceDE/>
        <w:autoSpaceDN/>
        <w:bidi w:val="0"/>
        <w:spacing w:after="0" w:line="360" w:lineRule="auto"/>
        <w:ind w:right="0" w:rightChars="0"/>
        <w:textAlignment w:val="auto"/>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提供原加热炉换向阀阀板密封圈、检修孔密封垫备件并进行更换。</w:t>
      </w:r>
    </w:p>
    <w:p>
      <w:pPr>
        <w:keepNext w:val="0"/>
        <w:keepLines w:val="0"/>
        <w:pageBreakBefore w:val="0"/>
        <w:numPr>
          <w:ilvl w:val="2"/>
          <w:numId w:val="11"/>
        </w:numPr>
        <w:tabs>
          <w:tab w:val="left" w:pos="0"/>
        </w:tabs>
        <w:kinsoku/>
        <w:wordWrap/>
        <w:overflowPunct/>
        <w:topLinePunct w:val="0"/>
        <w:autoSpaceDE/>
        <w:autoSpaceDN/>
        <w:bidi w:val="0"/>
        <w:spacing w:after="0" w:line="360" w:lineRule="auto"/>
        <w:ind w:right="0" w:rightChars="0"/>
        <w:textAlignment w:val="auto"/>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原加热炉燃烧控制系统调节阀、仪表正常工作，能真实反映实际燃控数据。</w:t>
      </w:r>
    </w:p>
    <w:p>
      <w:pPr>
        <w:keepNext w:val="0"/>
        <w:keepLines w:val="0"/>
        <w:pageBreakBefore w:val="0"/>
        <w:widowControl w:val="0"/>
        <w:numPr>
          <w:ilvl w:val="1"/>
          <w:numId w:val="8"/>
        </w:numPr>
        <w:kinsoku/>
        <w:wordWrap/>
        <w:overflowPunct/>
        <w:topLinePunct w:val="0"/>
        <w:autoSpaceDE/>
        <w:autoSpaceDN/>
        <w:bidi w:val="0"/>
        <w:adjustRightInd/>
        <w:snapToGrid/>
        <w:spacing w:after="0" w:line="360" w:lineRule="auto"/>
        <w:ind w:right="0" w:rightChars="0"/>
        <w:jc w:val="both"/>
        <w:textAlignment w:val="auto"/>
        <w:outlineLvl w:val="9"/>
        <w:rPr>
          <w:rFonts w:hint="eastAsia" w:ascii="宋体" w:hAnsi="宋体" w:eastAsia="宋体" w:cs="宋体"/>
          <w:b/>
          <w:bCs/>
          <w:color w:val="auto"/>
          <w:sz w:val="24"/>
          <w:highlight w:val="none"/>
        </w:rPr>
      </w:pPr>
      <w:bookmarkStart w:id="50" w:name="_Toc513560134"/>
      <w:bookmarkStart w:id="51" w:name="_Toc56417417"/>
      <w:r>
        <w:rPr>
          <w:rFonts w:hint="eastAsia" w:ascii="宋体" w:hAnsi="宋体" w:eastAsia="宋体" w:cs="宋体"/>
          <w:b/>
          <w:bCs/>
          <w:color w:val="auto"/>
          <w:sz w:val="24"/>
          <w:highlight w:val="none"/>
        </w:rPr>
        <w:t>工作交界面</w:t>
      </w:r>
      <w:bookmarkEnd w:id="50"/>
      <w:bookmarkEnd w:id="51"/>
    </w:p>
    <w:p>
      <w:pPr>
        <w:keepNext w:val="0"/>
        <w:keepLines w:val="0"/>
        <w:pageBreakBefore w:val="0"/>
        <w:numPr>
          <w:ilvl w:val="2"/>
          <w:numId w:val="12"/>
        </w:numPr>
        <w:tabs>
          <w:tab w:val="left" w:pos="0"/>
        </w:tabs>
        <w:kinsoku/>
        <w:wordWrap/>
        <w:overflowPunct/>
        <w:topLinePunct w:val="0"/>
        <w:autoSpaceDE/>
        <w:autoSpaceDN/>
        <w:bidi w:val="0"/>
        <w:spacing w:after="0" w:line="360" w:lineRule="auto"/>
        <w:ind w:right="0" w:rightChars="0"/>
        <w:textAlignment w:val="auto"/>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炉子工作介质交界面如水冷管道、氮气等，均以炉区附近作为分界点，分界点前设置阀门（含配套法兰）。</w:t>
      </w:r>
    </w:p>
    <w:p>
      <w:pPr>
        <w:keepNext w:val="0"/>
        <w:keepLines w:val="0"/>
        <w:pageBreakBefore w:val="0"/>
        <w:numPr>
          <w:ilvl w:val="2"/>
          <w:numId w:val="12"/>
        </w:numPr>
        <w:tabs>
          <w:tab w:val="left" w:pos="0"/>
        </w:tabs>
        <w:kinsoku/>
        <w:wordWrap/>
        <w:overflowPunct/>
        <w:topLinePunct w:val="0"/>
        <w:autoSpaceDE/>
        <w:autoSpaceDN/>
        <w:bidi w:val="0"/>
        <w:spacing w:after="0" w:line="360" w:lineRule="auto"/>
        <w:ind w:right="0" w:rightChars="0"/>
        <w:textAlignment w:val="auto"/>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动力电缆由</w:t>
      </w:r>
      <w:r>
        <w:rPr>
          <w:rFonts w:hint="eastAsia" w:ascii="宋体" w:hAnsi="宋体" w:eastAsia="宋体"/>
          <w:color w:val="auto"/>
          <w:sz w:val="24"/>
          <w:szCs w:val="24"/>
          <w:highlight w:val="none"/>
          <w:lang w:eastAsia="zh-CN"/>
        </w:rPr>
        <w:t>招标方</w:t>
      </w:r>
      <w:r>
        <w:rPr>
          <w:rFonts w:hint="eastAsia" w:ascii="宋体" w:hAnsi="宋体" w:eastAsia="宋体"/>
          <w:color w:val="auto"/>
          <w:sz w:val="24"/>
          <w:szCs w:val="24"/>
          <w:highlight w:val="none"/>
        </w:rPr>
        <w:t>供货并敷设至</w:t>
      </w:r>
      <w:r>
        <w:rPr>
          <w:rFonts w:hint="eastAsia" w:ascii="宋体" w:hAnsi="宋体" w:eastAsia="宋体"/>
          <w:color w:val="auto"/>
          <w:sz w:val="24"/>
          <w:szCs w:val="24"/>
          <w:highlight w:val="none"/>
          <w:lang w:eastAsia="zh-CN"/>
        </w:rPr>
        <w:t>投标方</w:t>
      </w:r>
      <w:r>
        <w:rPr>
          <w:rFonts w:hint="eastAsia" w:ascii="宋体" w:hAnsi="宋体" w:eastAsia="宋体"/>
          <w:color w:val="auto"/>
          <w:sz w:val="24"/>
          <w:szCs w:val="24"/>
          <w:highlight w:val="none"/>
        </w:rPr>
        <w:t>风机电子接线端子上。</w:t>
      </w:r>
    </w:p>
    <w:p>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right="0" w:rightChars="0"/>
        <w:jc w:val="both"/>
        <w:textAlignment w:val="auto"/>
        <w:outlineLvl w:val="9"/>
        <w:rPr>
          <w:rFonts w:ascii="宋体" w:hAnsi="宋体" w:eastAsia="宋体" w:cs="宋体"/>
          <w:b/>
          <w:bCs/>
          <w:color w:val="auto"/>
          <w:sz w:val="24"/>
          <w:highlight w:val="none"/>
        </w:rPr>
      </w:pPr>
      <w:r>
        <w:rPr>
          <w:rFonts w:hint="eastAsia" w:ascii="宋体" w:hAnsi="宋体" w:eastAsia="宋体" w:cs="宋体"/>
          <w:b/>
          <w:bCs/>
          <w:color w:val="auto"/>
          <w:sz w:val="24"/>
          <w:highlight w:val="none"/>
        </w:rPr>
        <w:t>资料交付</w:t>
      </w:r>
    </w:p>
    <w:p>
      <w:pPr>
        <w:keepNext w:val="0"/>
        <w:keepLines w:val="0"/>
        <w:pageBreakBefore w:val="0"/>
        <w:widowControl w:val="0"/>
        <w:numPr>
          <w:ilvl w:val="1"/>
          <w:numId w:val="13"/>
        </w:numPr>
        <w:kinsoku/>
        <w:wordWrap/>
        <w:overflowPunct/>
        <w:topLinePunct w:val="0"/>
        <w:autoSpaceDE/>
        <w:autoSpaceDN/>
        <w:bidi w:val="0"/>
        <w:adjustRightInd/>
        <w:snapToGrid/>
        <w:spacing w:after="0" w:line="360" w:lineRule="auto"/>
        <w:ind w:right="0" w:rightChars="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 </w:t>
      </w:r>
      <w:bookmarkStart w:id="52" w:name="_Toc11230422"/>
      <w:bookmarkStart w:id="53" w:name="_Toc56417420"/>
      <w:r>
        <w:rPr>
          <w:rFonts w:hint="eastAsia" w:asciiTheme="minorEastAsia" w:hAnsiTheme="minorEastAsia" w:eastAsiaTheme="minorEastAsia" w:cstheme="minorEastAsia"/>
          <w:b/>
          <w:bCs/>
          <w:color w:val="auto"/>
          <w:sz w:val="24"/>
          <w:szCs w:val="24"/>
          <w:highlight w:val="none"/>
          <w:lang w:eastAsia="zh-CN"/>
        </w:rPr>
        <w:t>招标方</w:t>
      </w:r>
      <w:r>
        <w:rPr>
          <w:rFonts w:hint="eastAsia" w:asciiTheme="minorEastAsia" w:hAnsiTheme="minorEastAsia" w:eastAsiaTheme="minorEastAsia" w:cstheme="minorEastAsia"/>
          <w:b/>
          <w:bCs/>
          <w:color w:val="auto"/>
          <w:sz w:val="24"/>
          <w:szCs w:val="24"/>
          <w:highlight w:val="none"/>
        </w:rPr>
        <w:t>提交资料</w:t>
      </w:r>
      <w:bookmarkEnd w:id="52"/>
      <w:bookmarkEnd w:id="53"/>
    </w:p>
    <w:p>
      <w:pPr>
        <w:keepNext w:val="0"/>
        <w:keepLines w:val="0"/>
        <w:pageBreakBefore w:val="0"/>
        <w:widowControl/>
        <w:kinsoku/>
        <w:wordWrap/>
        <w:overflowPunct/>
        <w:topLinePunct/>
        <w:autoSpaceDE/>
        <w:autoSpaceDN/>
        <w:bidi w:val="0"/>
        <w:adjustRightInd w:val="0"/>
        <w:snapToGrid w:val="0"/>
        <w:spacing w:after="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合同签订后3日内，招标方向投标方提供所需的设计资料，包括：平面图、管道图、平台图、电仪图纸及带注释的原程序及可编辑画面。</w:t>
      </w:r>
    </w:p>
    <w:p>
      <w:pPr>
        <w:keepNext w:val="0"/>
        <w:keepLines w:val="0"/>
        <w:pageBreakBefore w:val="0"/>
        <w:widowControl w:val="0"/>
        <w:numPr>
          <w:ilvl w:val="1"/>
          <w:numId w:val="13"/>
        </w:numPr>
        <w:kinsoku/>
        <w:wordWrap/>
        <w:overflowPunct/>
        <w:topLinePunct w:val="0"/>
        <w:autoSpaceDE/>
        <w:autoSpaceDN/>
        <w:bidi w:val="0"/>
        <w:adjustRightInd/>
        <w:snapToGrid/>
        <w:spacing w:after="0" w:line="360" w:lineRule="auto"/>
        <w:ind w:right="0" w:rightChars="0"/>
        <w:jc w:val="both"/>
        <w:textAlignment w:val="auto"/>
        <w:outlineLvl w:val="9"/>
        <w:rPr>
          <w:rFonts w:hint="eastAsia" w:asciiTheme="minorEastAsia" w:hAnsiTheme="minorEastAsia" w:eastAsiaTheme="minorEastAsia" w:cstheme="minorEastAsia"/>
          <w:b/>
          <w:bCs/>
          <w:color w:val="auto"/>
          <w:sz w:val="24"/>
          <w:szCs w:val="24"/>
          <w:highlight w:val="none"/>
        </w:rPr>
      </w:pPr>
      <w:bookmarkStart w:id="54" w:name="_Toc56417421"/>
      <w:bookmarkStart w:id="55" w:name="_Toc11230423"/>
      <w:r>
        <w:rPr>
          <w:rFonts w:hint="eastAsia" w:asciiTheme="minorEastAsia" w:hAnsiTheme="minorEastAsia" w:eastAsiaTheme="minorEastAsia" w:cstheme="minorEastAsia"/>
          <w:b/>
          <w:bCs/>
          <w:color w:val="auto"/>
          <w:sz w:val="24"/>
          <w:szCs w:val="24"/>
          <w:highlight w:val="none"/>
          <w:lang w:eastAsia="zh-CN"/>
        </w:rPr>
        <w:t>投标方</w:t>
      </w:r>
      <w:r>
        <w:rPr>
          <w:rFonts w:hint="eastAsia" w:asciiTheme="minorEastAsia" w:hAnsiTheme="minorEastAsia" w:eastAsiaTheme="minorEastAsia" w:cstheme="minorEastAsia"/>
          <w:b/>
          <w:bCs/>
          <w:color w:val="auto"/>
          <w:sz w:val="24"/>
          <w:szCs w:val="24"/>
          <w:highlight w:val="none"/>
        </w:rPr>
        <w:t>提交资料</w:t>
      </w:r>
      <w:bookmarkEnd w:id="54"/>
      <w:bookmarkEnd w:id="55"/>
    </w:p>
    <w:p>
      <w:pPr>
        <w:keepNext w:val="0"/>
        <w:keepLines w:val="0"/>
        <w:pageBreakBefore w:val="0"/>
        <w:widowControl/>
        <w:kinsoku/>
        <w:wordWrap/>
        <w:overflowPunct/>
        <w:topLinePunct/>
        <w:autoSpaceDE/>
        <w:autoSpaceDN/>
        <w:bidi w:val="0"/>
        <w:adjustRightInd w:val="0"/>
        <w:snapToGrid w:val="0"/>
        <w:spacing w:after="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投标方</w:t>
      </w:r>
      <w:r>
        <w:rPr>
          <w:rFonts w:hint="eastAsia" w:asciiTheme="minorEastAsia" w:hAnsiTheme="minorEastAsia" w:eastAsiaTheme="minorEastAsia" w:cstheme="minorEastAsia"/>
          <w:sz w:val="24"/>
          <w:szCs w:val="24"/>
        </w:rPr>
        <w:t>向</w:t>
      </w:r>
      <w:r>
        <w:rPr>
          <w:rFonts w:hint="eastAsia" w:asciiTheme="minorEastAsia" w:hAnsiTheme="minorEastAsia" w:eastAsiaTheme="minorEastAsia" w:cstheme="minorEastAsia"/>
          <w:sz w:val="24"/>
          <w:szCs w:val="24"/>
          <w:lang w:eastAsia="zh-CN"/>
        </w:rPr>
        <w:t>招标方</w:t>
      </w:r>
      <w:r>
        <w:rPr>
          <w:rFonts w:hint="eastAsia" w:asciiTheme="minorEastAsia" w:hAnsiTheme="minorEastAsia" w:eastAsiaTheme="minorEastAsia" w:cstheme="minorEastAsia"/>
          <w:sz w:val="24"/>
          <w:szCs w:val="24"/>
        </w:rPr>
        <w:t>提供的技术资料和图纸应符合国家、行业及本附件规定的内容及深度要求，并满足</w:t>
      </w:r>
      <w:r>
        <w:rPr>
          <w:rFonts w:hint="eastAsia" w:asciiTheme="minorEastAsia" w:hAnsiTheme="minorEastAsia" w:eastAsiaTheme="minorEastAsia" w:cstheme="minorEastAsia"/>
          <w:sz w:val="24"/>
          <w:szCs w:val="24"/>
          <w:lang w:eastAsia="zh-CN"/>
        </w:rPr>
        <w:t>招标方</w:t>
      </w:r>
      <w:r>
        <w:rPr>
          <w:rFonts w:hint="eastAsia" w:asciiTheme="minorEastAsia" w:hAnsiTheme="minorEastAsia" w:eastAsiaTheme="minorEastAsia" w:cstheme="minorEastAsia"/>
          <w:sz w:val="24"/>
          <w:szCs w:val="24"/>
        </w:rPr>
        <w:t>今后维护检修、备品备件订货的要求。</w:t>
      </w:r>
    </w:p>
    <w:p>
      <w:pPr>
        <w:keepNext w:val="0"/>
        <w:keepLines w:val="0"/>
        <w:pageBreakBefore w:val="0"/>
        <w:widowControl/>
        <w:kinsoku/>
        <w:wordWrap/>
        <w:overflowPunct/>
        <w:topLinePunct/>
        <w:autoSpaceDE/>
        <w:autoSpaceDN/>
        <w:bidi w:val="0"/>
        <w:adjustRightInd w:val="0"/>
        <w:snapToGrid w:val="0"/>
        <w:spacing w:after="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投标方</w:t>
      </w:r>
      <w:r>
        <w:rPr>
          <w:rFonts w:hint="eastAsia" w:asciiTheme="minorEastAsia" w:hAnsiTheme="minorEastAsia" w:eastAsiaTheme="minorEastAsia" w:cstheme="minorEastAsia"/>
          <w:sz w:val="24"/>
          <w:szCs w:val="24"/>
          <w:highlight w:val="none"/>
        </w:rPr>
        <w:t>提供的资料应使用国际单位制，语言为中文。</w:t>
      </w:r>
    </w:p>
    <w:p>
      <w:pPr>
        <w:keepNext w:val="0"/>
        <w:keepLines w:val="0"/>
        <w:pageBreakBefore w:val="0"/>
        <w:widowControl/>
        <w:kinsoku/>
        <w:wordWrap/>
        <w:overflowPunct/>
        <w:topLinePunct/>
        <w:autoSpaceDE/>
        <w:autoSpaceDN/>
        <w:bidi w:val="0"/>
        <w:adjustRightInd w:val="0"/>
        <w:snapToGrid w:val="0"/>
        <w:spacing w:after="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投标方</w:t>
      </w:r>
      <w:r>
        <w:rPr>
          <w:rFonts w:hint="eastAsia" w:asciiTheme="minorEastAsia" w:hAnsiTheme="minorEastAsia" w:eastAsiaTheme="minorEastAsia" w:cstheme="minorEastAsia"/>
          <w:sz w:val="24"/>
          <w:szCs w:val="24"/>
          <w:highlight w:val="none"/>
        </w:rPr>
        <w:t>应保证所提供的文件和图纸资料能完全满足安装、投运、正常运行和维护的要求。</w:t>
      </w:r>
    </w:p>
    <w:p>
      <w:pPr>
        <w:keepNext w:val="0"/>
        <w:keepLines w:val="0"/>
        <w:pageBreakBefore w:val="0"/>
        <w:widowControl/>
        <w:tabs>
          <w:tab w:val="left" w:pos="735"/>
        </w:tabs>
        <w:kinsoku/>
        <w:wordWrap/>
        <w:overflowPunct/>
        <w:autoSpaceDE/>
        <w:autoSpaceDN/>
        <w:bidi w:val="0"/>
        <w:adjustRightInd w:val="0"/>
        <w:snapToGrid/>
        <w:spacing w:after="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投标方</w:t>
      </w:r>
      <w:r>
        <w:rPr>
          <w:rFonts w:hint="eastAsia" w:asciiTheme="minorEastAsia" w:hAnsiTheme="minorEastAsia" w:eastAsiaTheme="minorEastAsia" w:cstheme="minorEastAsia"/>
          <w:sz w:val="24"/>
          <w:szCs w:val="24"/>
          <w:highlight w:val="none"/>
        </w:rPr>
        <w:t>应提供设备和电气仪表的安装、运行、操作维护说明，使用注意事项的资料。</w:t>
      </w:r>
    </w:p>
    <w:p>
      <w:pPr>
        <w:keepNext w:val="0"/>
        <w:keepLines w:val="0"/>
        <w:pageBreakBefore w:val="0"/>
        <w:widowControl/>
        <w:tabs>
          <w:tab w:val="left" w:pos="735"/>
        </w:tabs>
        <w:kinsoku/>
        <w:wordWrap/>
        <w:overflowPunct/>
        <w:autoSpaceDE/>
        <w:autoSpaceDN/>
        <w:bidi w:val="0"/>
        <w:adjustRightInd w:val="0"/>
        <w:snapToGrid/>
        <w:spacing w:after="0" w:line="360" w:lineRule="auto"/>
        <w:ind w:left="0" w:leftChars="0" w:right="0" w:rightChars="0" w:firstLine="480" w:firstLineChars="200"/>
        <w:jc w:val="left"/>
        <w:textAlignment w:val="auto"/>
        <w:outlineLvl w:val="9"/>
        <w:rPr>
          <w:rFonts w:ascii="宋体" w:hAnsi="宋体" w:eastAsia="宋体"/>
          <w:color w:val="auto"/>
          <w:sz w:val="24"/>
          <w:szCs w:val="24"/>
          <w:highlight w:val="none"/>
        </w:rPr>
      </w:pPr>
      <w:r>
        <w:rPr>
          <w:rFonts w:ascii="宋体" w:hAnsi="宋体" w:eastAsia="宋体"/>
          <w:color w:val="auto"/>
          <w:sz w:val="24"/>
          <w:szCs w:val="24"/>
          <w:highlight w:val="none"/>
        </w:rPr>
        <w:t>对于没有列入技术资料清单，却是工程所必需的文件和资料，</w:t>
      </w:r>
      <w:r>
        <w:rPr>
          <w:rFonts w:hint="eastAsia" w:ascii="宋体" w:hAnsi="宋体" w:eastAsia="宋体"/>
          <w:color w:val="auto"/>
          <w:sz w:val="24"/>
          <w:szCs w:val="24"/>
          <w:highlight w:val="none"/>
        </w:rPr>
        <w:t>投标方</w:t>
      </w:r>
      <w:r>
        <w:rPr>
          <w:rFonts w:ascii="宋体" w:hAnsi="宋体" w:eastAsia="宋体"/>
          <w:color w:val="auto"/>
          <w:sz w:val="24"/>
          <w:szCs w:val="24"/>
          <w:highlight w:val="none"/>
        </w:rPr>
        <w:t>应按</w:t>
      </w:r>
      <w:r>
        <w:rPr>
          <w:rFonts w:hint="eastAsia" w:ascii="宋体" w:hAnsi="宋体" w:eastAsia="宋体"/>
          <w:color w:val="auto"/>
          <w:sz w:val="24"/>
          <w:szCs w:val="24"/>
          <w:highlight w:val="none"/>
        </w:rPr>
        <w:t>招标方</w:t>
      </w:r>
      <w:r>
        <w:rPr>
          <w:rFonts w:ascii="宋体" w:hAnsi="宋体" w:eastAsia="宋体"/>
          <w:color w:val="auto"/>
          <w:sz w:val="24"/>
          <w:szCs w:val="24"/>
          <w:highlight w:val="none"/>
        </w:rPr>
        <w:t>要求及时免费提供。如需改进时，</w:t>
      </w:r>
      <w:r>
        <w:rPr>
          <w:rFonts w:hint="eastAsia" w:ascii="宋体" w:hAnsi="宋体" w:eastAsia="宋体"/>
          <w:color w:val="auto"/>
          <w:sz w:val="24"/>
          <w:szCs w:val="24"/>
          <w:highlight w:val="none"/>
        </w:rPr>
        <w:t>投标方</w:t>
      </w:r>
      <w:r>
        <w:rPr>
          <w:rFonts w:ascii="宋体" w:hAnsi="宋体" w:eastAsia="宋体"/>
          <w:color w:val="auto"/>
          <w:sz w:val="24"/>
          <w:szCs w:val="24"/>
          <w:highlight w:val="none"/>
        </w:rPr>
        <w:t>应及时免费提供新的技术资料。</w:t>
      </w:r>
    </w:p>
    <w:p>
      <w:pPr>
        <w:keepNext w:val="0"/>
        <w:keepLines w:val="0"/>
        <w:pageBreakBefore w:val="0"/>
        <w:widowControl/>
        <w:kinsoku/>
        <w:wordWrap/>
        <w:overflowPunct/>
        <w:topLinePunct/>
        <w:autoSpaceDE/>
        <w:autoSpaceDN/>
        <w:bidi w:val="0"/>
        <w:adjustRightInd w:val="0"/>
        <w:snapToGrid/>
        <w:spacing w:after="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highlight w:val="none"/>
        </w:rPr>
      </w:pPr>
      <w:r>
        <w:rPr>
          <w:rFonts w:hint="eastAsia" w:ascii="宋体" w:hAnsi="宋体" w:eastAsia="宋体"/>
          <w:color w:val="auto"/>
          <w:sz w:val="24"/>
          <w:szCs w:val="24"/>
          <w:highlight w:val="none"/>
        </w:rPr>
        <w:t>投标方涉及第三方专利和其他知识产权纠纷的，由投标方自行负责，与招标方无关。</w:t>
      </w:r>
    </w:p>
    <w:p>
      <w:pPr>
        <w:keepNext w:val="0"/>
        <w:keepLines w:val="0"/>
        <w:pageBreakBefore w:val="0"/>
        <w:widowControl w:val="0"/>
        <w:numPr>
          <w:ilvl w:val="1"/>
          <w:numId w:val="13"/>
        </w:numPr>
        <w:kinsoku/>
        <w:wordWrap/>
        <w:overflowPunct/>
        <w:autoSpaceDE/>
        <w:autoSpaceDN/>
        <w:bidi w:val="0"/>
        <w:adjustRightInd/>
        <w:snapToGrid/>
        <w:spacing w:after="0" w:line="360" w:lineRule="auto"/>
        <w:ind w:right="0" w:rightChars="0"/>
        <w:jc w:val="both"/>
        <w:textAlignment w:val="auto"/>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投标方</w:t>
      </w:r>
      <w:r>
        <w:rPr>
          <w:rFonts w:hint="eastAsia" w:asciiTheme="minorEastAsia" w:hAnsiTheme="minorEastAsia" w:eastAsiaTheme="minorEastAsia" w:cstheme="minorEastAsia"/>
          <w:b/>
          <w:bCs/>
          <w:color w:val="auto"/>
          <w:sz w:val="24"/>
          <w:szCs w:val="24"/>
          <w:highlight w:val="none"/>
        </w:rPr>
        <w:t>向</w:t>
      </w:r>
      <w:r>
        <w:rPr>
          <w:rFonts w:hint="eastAsia" w:asciiTheme="minorEastAsia" w:hAnsiTheme="minorEastAsia" w:eastAsiaTheme="minorEastAsia" w:cstheme="minorEastAsia"/>
          <w:b/>
          <w:bCs/>
          <w:color w:val="auto"/>
          <w:sz w:val="24"/>
          <w:szCs w:val="24"/>
          <w:highlight w:val="none"/>
          <w:lang w:eastAsia="zh-CN"/>
        </w:rPr>
        <w:t>招标方</w:t>
      </w:r>
      <w:r>
        <w:rPr>
          <w:rFonts w:hint="eastAsia" w:asciiTheme="minorEastAsia" w:hAnsiTheme="minorEastAsia" w:eastAsiaTheme="minorEastAsia" w:cstheme="minorEastAsia"/>
          <w:b/>
          <w:bCs/>
          <w:color w:val="auto"/>
          <w:sz w:val="24"/>
          <w:szCs w:val="24"/>
          <w:highlight w:val="none"/>
        </w:rPr>
        <w:t>提供的技术资料及数量：</w:t>
      </w:r>
    </w:p>
    <w:p>
      <w:pPr>
        <w:keepNext w:val="0"/>
        <w:keepLines w:val="0"/>
        <w:pageBreakBefore w:val="0"/>
        <w:numPr>
          <w:ilvl w:val="2"/>
          <w:numId w:val="14"/>
        </w:numPr>
        <w:tabs>
          <w:tab w:val="left" w:pos="0"/>
        </w:tabs>
        <w:kinsoku/>
        <w:wordWrap/>
        <w:overflowPunct/>
        <w:topLinePunct w:val="0"/>
        <w:autoSpaceDE/>
        <w:autoSpaceDN/>
        <w:bidi w:val="0"/>
        <w:spacing w:after="0" w:line="360" w:lineRule="auto"/>
        <w:ind w:right="0" w:rightChars="0"/>
        <w:textAlignment w:val="auto"/>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反吹扫系统施工图，蓝图4套及相应图纸电子版。</w:t>
      </w:r>
    </w:p>
    <w:p>
      <w:pPr>
        <w:keepNext w:val="0"/>
        <w:keepLines w:val="0"/>
        <w:pageBreakBefore w:val="0"/>
        <w:numPr>
          <w:ilvl w:val="2"/>
          <w:numId w:val="14"/>
        </w:numPr>
        <w:tabs>
          <w:tab w:val="left" w:pos="0"/>
        </w:tabs>
        <w:kinsoku/>
        <w:wordWrap/>
        <w:overflowPunct/>
        <w:topLinePunct w:val="0"/>
        <w:autoSpaceDE/>
        <w:autoSpaceDN/>
        <w:bidi w:val="0"/>
        <w:spacing w:after="0" w:line="360" w:lineRule="auto"/>
        <w:ind w:right="0" w:rightChars="0"/>
        <w:textAlignment w:val="auto"/>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土建施工图纸，蓝图4套及相应图纸电子版。</w:t>
      </w:r>
    </w:p>
    <w:p>
      <w:pPr>
        <w:keepNext w:val="0"/>
        <w:keepLines w:val="0"/>
        <w:pageBreakBefore w:val="0"/>
        <w:numPr>
          <w:ilvl w:val="2"/>
          <w:numId w:val="14"/>
        </w:numPr>
        <w:tabs>
          <w:tab w:val="left" w:pos="0"/>
        </w:tabs>
        <w:kinsoku/>
        <w:wordWrap/>
        <w:overflowPunct/>
        <w:topLinePunct w:val="0"/>
        <w:autoSpaceDE/>
        <w:autoSpaceDN/>
        <w:bidi w:val="0"/>
        <w:spacing w:after="0" w:line="360" w:lineRule="auto"/>
        <w:ind w:right="0" w:rightChars="0"/>
        <w:textAlignment w:val="auto"/>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吹扫系统使用操作规程2份及相应文件</w:t>
      </w:r>
    </w:p>
    <w:p>
      <w:pPr>
        <w:keepNext w:val="0"/>
        <w:keepLines w:val="0"/>
        <w:pageBreakBefore w:val="0"/>
        <w:numPr>
          <w:ilvl w:val="2"/>
          <w:numId w:val="14"/>
        </w:numPr>
        <w:tabs>
          <w:tab w:val="left" w:pos="0"/>
        </w:tabs>
        <w:kinsoku/>
        <w:wordWrap/>
        <w:overflowPunct/>
        <w:topLinePunct w:val="0"/>
        <w:autoSpaceDE/>
        <w:autoSpaceDN/>
        <w:bidi w:val="0"/>
        <w:spacing w:after="0" w:line="360" w:lineRule="auto"/>
        <w:ind w:right="0" w:rightChars="0"/>
        <w:textAlignment w:val="auto"/>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完整的操作说明书1套。</w:t>
      </w:r>
    </w:p>
    <w:p>
      <w:pPr>
        <w:keepNext w:val="0"/>
        <w:keepLines w:val="0"/>
        <w:pageBreakBefore w:val="0"/>
        <w:widowControl w:val="0"/>
        <w:numPr>
          <w:ilvl w:val="0"/>
          <w:numId w:val="1"/>
        </w:numPr>
        <w:kinsoku/>
        <w:wordWrap/>
        <w:overflowPunct/>
        <w:topLinePunct w:val="0"/>
        <w:autoSpaceDE/>
        <w:autoSpaceDN/>
        <w:bidi w:val="0"/>
        <w:adjustRightInd/>
        <w:snapToGrid/>
        <w:spacing w:after="0" w:line="360" w:lineRule="auto"/>
        <w:ind w:left="0" w:leftChars="0" w:right="0" w:rightChars="0" w:firstLine="0" w:firstLineChars="0"/>
        <w:jc w:val="both"/>
        <w:textAlignment w:val="auto"/>
        <w:outlineLvl w:val="9"/>
        <w:rPr>
          <w:rFonts w:hint="eastAsia" w:ascii="宋体" w:hAnsi="宋体" w:eastAsia="宋体" w:cs="宋体"/>
          <w:b/>
          <w:bCs/>
          <w:color w:val="auto"/>
          <w:sz w:val="24"/>
          <w:highlight w:val="none"/>
        </w:rPr>
      </w:pPr>
      <w:bookmarkStart w:id="56" w:name="_Toc525814711"/>
      <w:bookmarkStart w:id="57" w:name="_Toc523733298"/>
      <w:bookmarkStart w:id="58" w:name="_Toc525852815"/>
      <w:bookmarkStart w:id="59" w:name="_Toc56417429"/>
      <w:bookmarkStart w:id="60" w:name="_Toc509309704"/>
      <w:r>
        <w:rPr>
          <w:rFonts w:hint="eastAsia" w:ascii="宋体" w:hAnsi="宋体" w:eastAsia="宋体" w:cs="宋体"/>
          <w:b/>
          <w:bCs/>
          <w:color w:val="auto"/>
          <w:sz w:val="24"/>
          <w:highlight w:val="none"/>
        </w:rPr>
        <w:t>考核的实施</w:t>
      </w:r>
      <w:bookmarkEnd w:id="56"/>
      <w:bookmarkEnd w:id="57"/>
      <w:bookmarkEnd w:id="58"/>
      <w:bookmarkEnd w:id="59"/>
    </w:p>
    <w:p>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考核应在热负荷试车后15天内实施，考核应由</w:t>
      </w:r>
      <w:r>
        <w:rPr>
          <w:rFonts w:hint="eastAsia" w:asciiTheme="minorEastAsia" w:hAnsiTheme="minorEastAsia" w:eastAsiaTheme="minorEastAsia" w:cstheme="minorEastAsia"/>
          <w:sz w:val="24"/>
          <w:szCs w:val="24"/>
          <w:highlight w:val="none"/>
          <w:lang w:eastAsia="zh-CN"/>
        </w:rPr>
        <w:t>招标方</w:t>
      </w:r>
      <w:r>
        <w:rPr>
          <w:rFonts w:hint="eastAsia" w:asciiTheme="minorEastAsia" w:hAnsiTheme="minorEastAsia" w:eastAsiaTheme="minorEastAsia" w:cstheme="minorEastAsia"/>
          <w:sz w:val="24"/>
          <w:szCs w:val="24"/>
          <w:highlight w:val="none"/>
        </w:rPr>
        <w:t>组织实施。</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jc w:val="left"/>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考核工作应在</w:t>
      </w:r>
      <w:r>
        <w:rPr>
          <w:rFonts w:hint="eastAsia" w:asciiTheme="minorEastAsia" w:hAnsiTheme="minorEastAsia" w:eastAsiaTheme="minorEastAsia" w:cstheme="minorEastAsia"/>
          <w:sz w:val="24"/>
          <w:szCs w:val="24"/>
          <w:highlight w:val="none"/>
          <w:lang w:eastAsia="zh-CN"/>
        </w:rPr>
        <w:t>招标方</w:t>
      </w:r>
      <w:r>
        <w:rPr>
          <w:rFonts w:hint="eastAsia" w:asciiTheme="minorEastAsia" w:hAnsiTheme="minorEastAsia" w:eastAsiaTheme="minorEastAsia" w:cstheme="minorEastAsia"/>
          <w:sz w:val="24"/>
          <w:szCs w:val="24"/>
          <w:highlight w:val="none"/>
        </w:rPr>
        <w:t>组织下，根据</w:t>
      </w:r>
      <w:r>
        <w:rPr>
          <w:rFonts w:hint="eastAsia" w:asciiTheme="minorEastAsia" w:hAnsiTheme="minorEastAsia" w:eastAsiaTheme="minorEastAsia" w:cstheme="minorEastAsia"/>
          <w:sz w:val="24"/>
          <w:szCs w:val="24"/>
          <w:highlight w:val="none"/>
          <w:lang w:eastAsia="zh-CN"/>
        </w:rPr>
        <w:t>投标方</w:t>
      </w:r>
      <w:r>
        <w:rPr>
          <w:rFonts w:hint="eastAsia" w:asciiTheme="minorEastAsia" w:hAnsiTheme="minorEastAsia" w:eastAsiaTheme="minorEastAsia" w:cstheme="minorEastAsia"/>
          <w:sz w:val="24"/>
          <w:szCs w:val="24"/>
          <w:highlight w:val="none"/>
        </w:rPr>
        <w:t>提出的考核要领书，由</w:t>
      </w:r>
      <w:r>
        <w:rPr>
          <w:rFonts w:hint="eastAsia" w:asciiTheme="minorEastAsia" w:hAnsiTheme="minorEastAsia" w:eastAsiaTheme="minorEastAsia" w:cstheme="minorEastAsia"/>
          <w:sz w:val="24"/>
          <w:szCs w:val="24"/>
          <w:highlight w:val="none"/>
          <w:lang w:eastAsia="zh-CN"/>
        </w:rPr>
        <w:t>招标方</w:t>
      </w:r>
      <w:r>
        <w:rPr>
          <w:rFonts w:hint="eastAsia" w:asciiTheme="minorEastAsia" w:hAnsiTheme="minorEastAsia" w:eastAsiaTheme="minorEastAsia" w:cstheme="minorEastAsia"/>
          <w:sz w:val="24"/>
          <w:szCs w:val="24"/>
          <w:highlight w:val="none"/>
        </w:rPr>
        <w:t>实施，对其中无规定的方法、条件的详细实施，应由买卖双方的现场代表协商决定。</w:t>
      </w:r>
      <w:r>
        <w:rPr>
          <w:rFonts w:hint="eastAsia" w:asciiTheme="minorEastAsia" w:hAnsiTheme="minorEastAsia" w:eastAsiaTheme="minorEastAsia" w:cstheme="minorEastAsia"/>
          <w:sz w:val="24"/>
          <w:szCs w:val="24"/>
          <w:highlight w:val="none"/>
          <w:lang w:eastAsia="zh-CN"/>
        </w:rPr>
        <w:t>招标方</w:t>
      </w:r>
      <w:r>
        <w:rPr>
          <w:rFonts w:hint="eastAsia" w:asciiTheme="minorEastAsia" w:hAnsiTheme="minorEastAsia" w:eastAsiaTheme="minorEastAsia" w:cstheme="minorEastAsia"/>
          <w:sz w:val="24"/>
          <w:szCs w:val="24"/>
          <w:highlight w:val="none"/>
        </w:rPr>
        <w:t>应按</w:t>
      </w:r>
      <w:r>
        <w:rPr>
          <w:rFonts w:hint="eastAsia" w:asciiTheme="minorEastAsia" w:hAnsiTheme="minorEastAsia" w:eastAsiaTheme="minorEastAsia" w:cstheme="minorEastAsia"/>
          <w:sz w:val="24"/>
          <w:szCs w:val="24"/>
          <w:highlight w:val="none"/>
          <w:lang w:eastAsia="zh-CN"/>
        </w:rPr>
        <w:t>投标方</w:t>
      </w:r>
      <w:r>
        <w:rPr>
          <w:rFonts w:hint="eastAsia" w:asciiTheme="minorEastAsia" w:hAnsiTheme="minorEastAsia" w:eastAsiaTheme="minorEastAsia" w:cstheme="minorEastAsia"/>
          <w:sz w:val="24"/>
          <w:szCs w:val="24"/>
          <w:highlight w:val="none"/>
        </w:rPr>
        <w:t>的建议，在考核前备齐需要用量的一切公用设施及考核试验用材料。</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项目应于正式投运一个月内由相关部门验收，并出具验收意见。</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考核条件如下：</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加热炉连续稳定生产，没有启停炉和待轧保温时间段，加热炉燃烧系统正常、换向阀系统无泄漏、生产操作正常。如因空燃比不合适或煤气压力波动大导致CO浓度波动大的检测数据应予忽略。以煤烟烟气总管在线式激光检测仪数据为考核依据。</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验收标准：在经过</w:t>
      </w:r>
      <w:r>
        <w:rPr>
          <w:rFonts w:hint="eastAsia" w:asciiTheme="minorEastAsia" w:hAnsiTheme="minorEastAsia" w:eastAsiaTheme="minorEastAsia" w:cstheme="minorEastAsia"/>
          <w:sz w:val="24"/>
          <w:szCs w:val="24"/>
          <w:highlight w:val="none"/>
          <w:lang w:eastAsia="zh-CN"/>
        </w:rPr>
        <w:t>投标方</w:t>
      </w:r>
      <w:r>
        <w:rPr>
          <w:rFonts w:hint="eastAsia" w:asciiTheme="minorEastAsia" w:hAnsiTheme="minorEastAsia" w:eastAsiaTheme="minorEastAsia" w:cstheme="minorEastAsia"/>
          <w:sz w:val="24"/>
          <w:szCs w:val="24"/>
          <w:highlight w:val="none"/>
        </w:rPr>
        <w:t>改造实施后，在加热炉正常稳定生产期间，煤烟CO平均含量可以控制到以下数值为合格：</w:t>
      </w:r>
    </w:p>
    <w:p>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80" w:firstLineChars="200"/>
        <w:jc w:val="left"/>
        <w:textAlignment w:val="auto"/>
        <w:outlineLvl w:val="9"/>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煤烟烟气中CO小时平均含量≤3000ppm。</w:t>
      </w:r>
    </w:p>
    <w:p>
      <w:pPr>
        <w:keepNext w:val="0"/>
        <w:keepLines w:val="0"/>
        <w:pageBreakBefore w:val="0"/>
        <w:widowControl w:val="0"/>
        <w:numPr>
          <w:ilvl w:val="0"/>
          <w:numId w:val="1"/>
        </w:numPr>
        <w:kinsoku/>
        <w:wordWrap/>
        <w:overflowPunct/>
        <w:autoSpaceDE/>
        <w:autoSpaceDN/>
        <w:bidi w:val="0"/>
        <w:adjustRightInd/>
        <w:snapToGrid/>
        <w:spacing w:after="0" w:line="360" w:lineRule="auto"/>
        <w:ind w:right="0" w:rightChars="0"/>
        <w:jc w:val="both"/>
        <w:textAlignment w:val="auto"/>
        <w:outlineLvl w:val="9"/>
        <w:rPr>
          <w:rFonts w:ascii="宋体" w:hAnsi="宋体" w:eastAsia="宋体" w:cs="宋体"/>
          <w:b/>
          <w:bCs/>
          <w:color w:val="auto"/>
          <w:sz w:val="24"/>
          <w:highlight w:val="none"/>
        </w:rPr>
      </w:pPr>
      <w:r>
        <w:rPr>
          <w:rFonts w:hint="eastAsia" w:ascii="宋体" w:hAnsi="宋体" w:eastAsia="宋体" w:cs="宋体"/>
          <w:b/>
          <w:bCs/>
          <w:color w:val="auto"/>
          <w:sz w:val="24"/>
          <w:highlight w:val="none"/>
        </w:rPr>
        <w:t>设备包装、发运及安装</w:t>
      </w:r>
      <w:bookmarkEnd w:id="60"/>
    </w:p>
    <w:p>
      <w:pPr>
        <w:keepNext w:val="0"/>
        <w:keepLines w:val="0"/>
        <w:pageBreakBefore w:val="0"/>
        <w:widowControl w:val="0"/>
        <w:numPr>
          <w:ilvl w:val="1"/>
          <w:numId w:val="15"/>
        </w:numPr>
        <w:kinsoku/>
        <w:wordWrap/>
        <w:overflowPunct/>
        <w:autoSpaceDE/>
        <w:autoSpaceDN/>
        <w:bidi w:val="0"/>
        <w:adjustRightInd/>
        <w:snapToGrid/>
        <w:spacing w:after="0" w:line="360" w:lineRule="auto"/>
        <w:ind w:right="0" w:rightChars="0"/>
        <w:jc w:val="both"/>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包装规定：适于长途运输，应防潮、防锈、防震等，适于陆地运输和整体吊装。</w:t>
      </w:r>
    </w:p>
    <w:p>
      <w:pPr>
        <w:keepNext w:val="0"/>
        <w:keepLines w:val="0"/>
        <w:pageBreakBefore w:val="0"/>
        <w:widowControl w:val="0"/>
        <w:numPr>
          <w:ilvl w:val="1"/>
          <w:numId w:val="15"/>
        </w:numPr>
        <w:kinsoku/>
        <w:wordWrap/>
        <w:overflowPunct/>
        <w:autoSpaceDE/>
        <w:autoSpaceDN/>
        <w:bidi w:val="0"/>
        <w:adjustRightInd/>
        <w:snapToGrid/>
        <w:spacing w:after="0" w:line="360" w:lineRule="auto"/>
        <w:ind w:right="0" w:rightChars="0"/>
        <w:jc w:val="both"/>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运输规定：采取陆运方式到招标方指定地点。</w:t>
      </w:r>
    </w:p>
    <w:p>
      <w:pPr>
        <w:keepNext w:val="0"/>
        <w:keepLines w:val="0"/>
        <w:pageBreakBefore w:val="0"/>
        <w:widowControl w:val="0"/>
        <w:numPr>
          <w:ilvl w:val="1"/>
          <w:numId w:val="15"/>
        </w:numPr>
        <w:kinsoku/>
        <w:wordWrap/>
        <w:overflowPunct/>
        <w:autoSpaceDE/>
        <w:autoSpaceDN/>
        <w:bidi w:val="0"/>
        <w:adjustRightInd/>
        <w:snapToGrid/>
        <w:spacing w:after="0" w:line="360" w:lineRule="auto"/>
        <w:ind w:right="0" w:rightChars="0"/>
        <w:jc w:val="both"/>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到货后的检查核对规定：按合同、技术协议、装箱清单。</w:t>
      </w:r>
    </w:p>
    <w:p>
      <w:pPr>
        <w:keepNext w:val="0"/>
        <w:keepLines w:val="0"/>
        <w:pageBreakBefore w:val="0"/>
        <w:widowControl w:val="0"/>
        <w:numPr>
          <w:ilvl w:val="0"/>
          <w:numId w:val="1"/>
        </w:numPr>
        <w:kinsoku/>
        <w:wordWrap/>
        <w:overflowPunct/>
        <w:autoSpaceDE/>
        <w:autoSpaceDN/>
        <w:bidi w:val="0"/>
        <w:adjustRightInd/>
        <w:snapToGrid/>
        <w:spacing w:after="0" w:line="360" w:lineRule="auto"/>
        <w:ind w:right="0" w:rightChars="0"/>
        <w:jc w:val="both"/>
        <w:textAlignment w:val="auto"/>
        <w:outlineLvl w:val="9"/>
        <w:rPr>
          <w:rFonts w:ascii="宋体" w:hAnsi="宋体" w:eastAsia="宋体" w:cs="宋体"/>
          <w:b/>
          <w:bCs/>
          <w:color w:val="auto"/>
          <w:sz w:val="24"/>
          <w:highlight w:val="none"/>
        </w:rPr>
      </w:pPr>
      <w:r>
        <w:rPr>
          <w:rFonts w:hint="eastAsia" w:ascii="宋体" w:hAnsi="宋体" w:eastAsia="宋体" w:cs="宋体"/>
          <w:b/>
          <w:bCs/>
          <w:color w:val="auto"/>
          <w:sz w:val="24"/>
          <w:highlight w:val="none"/>
        </w:rPr>
        <w:t>投标书内容和要求</w:t>
      </w:r>
    </w:p>
    <w:p>
      <w:pPr>
        <w:keepNext w:val="0"/>
        <w:keepLines w:val="0"/>
        <w:pageBreakBefore w:val="0"/>
        <w:widowControl w:val="0"/>
        <w:numPr>
          <w:ilvl w:val="1"/>
          <w:numId w:val="16"/>
        </w:numPr>
        <w:kinsoku/>
        <w:wordWrap/>
        <w:overflowPunct/>
        <w:autoSpaceDE/>
        <w:autoSpaceDN/>
        <w:bidi w:val="0"/>
        <w:adjustRightInd/>
        <w:snapToGrid/>
        <w:spacing w:after="0" w:line="360" w:lineRule="auto"/>
        <w:ind w:right="0" w:rightChars="0"/>
        <w:jc w:val="both"/>
        <w:textAlignment w:val="auto"/>
        <w:outlineLvl w:val="9"/>
        <w:rPr>
          <w:rFonts w:ascii="宋体" w:hAnsi="宋体" w:eastAsia="宋体" w:cs="宋体"/>
          <w:color w:val="auto"/>
          <w:sz w:val="24"/>
          <w:highlight w:val="none"/>
        </w:rPr>
      </w:pPr>
      <w:r>
        <w:rPr>
          <w:rFonts w:hint="eastAsia" w:ascii="宋体" w:hAnsi="宋体" w:eastAsia="宋体" w:cs="宋体"/>
          <w:color w:val="auto"/>
          <w:sz w:val="24"/>
          <w:highlight w:val="none"/>
        </w:rPr>
        <w:t>投标文件中必须包含以下材料：</w:t>
      </w:r>
    </w:p>
    <w:p>
      <w:pPr>
        <w:keepNext w:val="0"/>
        <w:keepLines w:val="0"/>
        <w:pageBreakBefore w:val="0"/>
        <w:numPr>
          <w:ilvl w:val="2"/>
          <w:numId w:val="17"/>
        </w:numPr>
        <w:tabs>
          <w:tab w:val="left" w:pos="0"/>
        </w:tabs>
        <w:kinsoku/>
        <w:wordWrap/>
        <w:overflowPunct/>
        <w:autoSpaceDE/>
        <w:autoSpaceDN/>
        <w:bidi w:val="0"/>
        <w:spacing w:after="0" w:line="360" w:lineRule="auto"/>
        <w:ind w:right="0" w:rightChars="0"/>
        <w:textAlignment w:val="auto"/>
        <w:outlineLvl w:val="9"/>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方案</w:t>
      </w:r>
      <w:r>
        <w:rPr>
          <w:rFonts w:hint="eastAsia" w:ascii="宋体" w:hAnsi="宋体" w:eastAsia="宋体"/>
          <w:color w:val="auto"/>
          <w:sz w:val="24"/>
          <w:szCs w:val="24"/>
          <w:highlight w:val="none"/>
        </w:rPr>
        <w:t>图纸。</w:t>
      </w:r>
    </w:p>
    <w:p>
      <w:pPr>
        <w:keepNext w:val="0"/>
        <w:keepLines w:val="0"/>
        <w:pageBreakBefore w:val="0"/>
        <w:numPr>
          <w:ilvl w:val="2"/>
          <w:numId w:val="17"/>
        </w:numPr>
        <w:tabs>
          <w:tab w:val="left" w:pos="0"/>
        </w:tabs>
        <w:kinsoku/>
        <w:wordWrap/>
        <w:overflowPunct/>
        <w:autoSpaceDE/>
        <w:autoSpaceDN/>
        <w:bidi w:val="0"/>
        <w:spacing w:after="0" w:line="360" w:lineRule="auto"/>
        <w:ind w:right="0" w:rightChars="0"/>
        <w:textAlignment w:val="auto"/>
        <w:outlineLvl w:val="9"/>
        <w:rPr>
          <w:rFonts w:ascii="宋体" w:hAnsi="宋体" w:eastAsia="宋体"/>
          <w:color w:val="auto"/>
          <w:sz w:val="24"/>
          <w:szCs w:val="24"/>
          <w:highlight w:val="none"/>
        </w:rPr>
      </w:pPr>
      <w:r>
        <w:rPr>
          <w:rFonts w:hint="eastAsia" w:ascii="宋体" w:hAnsi="宋体" w:eastAsia="宋体"/>
          <w:color w:val="auto"/>
          <w:sz w:val="24"/>
          <w:szCs w:val="24"/>
          <w:highlight w:val="none"/>
        </w:rPr>
        <w:t>主要设备</w:t>
      </w:r>
      <w:r>
        <w:rPr>
          <w:rFonts w:hint="eastAsia" w:ascii="宋体" w:hAnsi="宋体" w:eastAsia="宋体"/>
          <w:color w:val="auto"/>
          <w:sz w:val="24"/>
          <w:szCs w:val="24"/>
          <w:highlight w:val="none"/>
          <w:lang w:eastAsia="zh-CN"/>
        </w:rPr>
        <w:t>清单</w:t>
      </w:r>
      <w:r>
        <w:rPr>
          <w:rFonts w:hint="eastAsia" w:ascii="宋体" w:hAnsi="宋体" w:eastAsia="宋体"/>
          <w:color w:val="auto"/>
          <w:sz w:val="24"/>
          <w:szCs w:val="24"/>
          <w:highlight w:val="none"/>
        </w:rPr>
        <w:t>，必须要列出生产厂家。</w:t>
      </w:r>
    </w:p>
    <w:tbl>
      <w:tblPr>
        <w:tblStyle w:val="9"/>
        <w:tblW w:w="8522" w:type="dxa"/>
        <w:jc w:val="center"/>
        <w:tblInd w:w="0" w:type="dxa"/>
        <w:tblLayout w:type="fixed"/>
        <w:tblCellMar>
          <w:top w:w="0" w:type="dxa"/>
          <w:left w:w="108" w:type="dxa"/>
          <w:bottom w:w="0" w:type="dxa"/>
          <w:right w:w="108" w:type="dxa"/>
        </w:tblCellMar>
      </w:tblPr>
      <w:tblGrid>
        <w:gridCol w:w="946"/>
        <w:gridCol w:w="2220"/>
        <w:gridCol w:w="1320"/>
        <w:gridCol w:w="810"/>
        <w:gridCol w:w="840"/>
        <w:gridCol w:w="1339"/>
        <w:gridCol w:w="1047"/>
      </w:tblGrid>
      <w:tr>
        <w:tblPrEx>
          <w:tblLayout w:type="fixed"/>
          <w:tblCellMar>
            <w:top w:w="0" w:type="dxa"/>
            <w:left w:w="108" w:type="dxa"/>
            <w:bottom w:w="0" w:type="dxa"/>
            <w:right w:w="108" w:type="dxa"/>
          </w:tblCellMar>
        </w:tblPrEx>
        <w:trPr>
          <w:trHeight w:val="340"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2220"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设备名称</w:t>
            </w:r>
          </w:p>
        </w:tc>
        <w:tc>
          <w:tcPr>
            <w:tcW w:w="1320"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规格型号</w:t>
            </w:r>
          </w:p>
        </w:tc>
        <w:tc>
          <w:tcPr>
            <w:tcW w:w="810"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材质</w:t>
            </w:r>
          </w:p>
        </w:tc>
        <w:tc>
          <w:tcPr>
            <w:tcW w:w="840"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133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生产厂家</w:t>
            </w:r>
          </w:p>
        </w:tc>
        <w:tc>
          <w:tcPr>
            <w:tcW w:w="1047"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tblPrEx>
          <w:tblLayout w:type="fixed"/>
          <w:tblCellMar>
            <w:top w:w="0" w:type="dxa"/>
            <w:left w:w="108" w:type="dxa"/>
            <w:bottom w:w="0" w:type="dxa"/>
            <w:right w:w="108" w:type="dxa"/>
          </w:tblCellMar>
        </w:tblPrEx>
        <w:trPr>
          <w:trHeight w:val="245"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20"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20"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color w:val="auto"/>
                <w:sz w:val="24"/>
                <w:szCs w:val="24"/>
                <w:highlight w:val="none"/>
              </w:rPr>
            </w:pPr>
          </w:p>
        </w:tc>
        <w:tc>
          <w:tcPr>
            <w:tcW w:w="810"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color w:val="auto"/>
                <w:sz w:val="24"/>
                <w:szCs w:val="24"/>
                <w:highlight w:val="none"/>
              </w:rPr>
            </w:pPr>
          </w:p>
        </w:tc>
        <w:tc>
          <w:tcPr>
            <w:tcW w:w="840"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color w:val="auto"/>
                <w:sz w:val="24"/>
                <w:szCs w:val="24"/>
                <w:highlight w:val="none"/>
              </w:rPr>
            </w:pPr>
          </w:p>
        </w:tc>
        <w:tc>
          <w:tcPr>
            <w:tcW w:w="133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color w:val="auto"/>
                <w:sz w:val="24"/>
                <w:szCs w:val="24"/>
                <w:highlight w:val="none"/>
              </w:rPr>
            </w:pPr>
          </w:p>
        </w:tc>
        <w:tc>
          <w:tcPr>
            <w:tcW w:w="1047"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color w:val="auto"/>
                <w:sz w:val="24"/>
                <w:szCs w:val="24"/>
                <w:highlight w:val="none"/>
              </w:rPr>
            </w:pPr>
          </w:p>
        </w:tc>
      </w:tr>
      <w:tr>
        <w:tblPrEx>
          <w:tblLayout w:type="fixed"/>
          <w:tblCellMar>
            <w:top w:w="0" w:type="dxa"/>
            <w:left w:w="108" w:type="dxa"/>
            <w:bottom w:w="0" w:type="dxa"/>
            <w:right w:w="108" w:type="dxa"/>
          </w:tblCellMar>
        </w:tblPrEx>
        <w:trPr>
          <w:trHeight w:val="340"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20" w:type="dxa"/>
            <w:tcBorders>
              <w:top w:val="single" w:color="auto" w:sz="4" w:space="0"/>
              <w:left w:val="nil"/>
              <w:bottom w:val="single" w:color="auto" w:sz="4" w:space="0"/>
              <w:right w:val="single" w:color="auto" w:sz="4" w:space="0"/>
            </w:tcBorders>
            <w:vAlign w:val="center"/>
          </w:tcPr>
          <w:p>
            <w:pPr>
              <w:spacing w:after="0"/>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20"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color w:val="auto"/>
                <w:sz w:val="24"/>
                <w:szCs w:val="24"/>
                <w:highlight w:val="none"/>
              </w:rPr>
            </w:pPr>
          </w:p>
        </w:tc>
        <w:tc>
          <w:tcPr>
            <w:tcW w:w="810"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color w:val="auto"/>
                <w:sz w:val="24"/>
                <w:szCs w:val="24"/>
                <w:highlight w:val="none"/>
              </w:rPr>
            </w:pPr>
          </w:p>
        </w:tc>
        <w:tc>
          <w:tcPr>
            <w:tcW w:w="840"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color w:val="auto"/>
                <w:sz w:val="24"/>
                <w:szCs w:val="24"/>
                <w:highlight w:val="none"/>
              </w:rPr>
            </w:pPr>
          </w:p>
        </w:tc>
        <w:tc>
          <w:tcPr>
            <w:tcW w:w="133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color w:val="auto"/>
                <w:sz w:val="24"/>
                <w:szCs w:val="24"/>
                <w:highlight w:val="none"/>
              </w:rPr>
            </w:pPr>
          </w:p>
        </w:tc>
        <w:tc>
          <w:tcPr>
            <w:tcW w:w="1047"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color w:val="auto"/>
                <w:sz w:val="24"/>
                <w:szCs w:val="24"/>
                <w:highlight w:val="none"/>
              </w:rPr>
            </w:pPr>
          </w:p>
        </w:tc>
      </w:tr>
      <w:tr>
        <w:tblPrEx>
          <w:tblLayout w:type="fixed"/>
          <w:tblCellMar>
            <w:top w:w="0" w:type="dxa"/>
            <w:left w:w="108" w:type="dxa"/>
            <w:bottom w:w="0" w:type="dxa"/>
            <w:right w:w="108" w:type="dxa"/>
          </w:tblCellMar>
        </w:tblPrEx>
        <w:trPr>
          <w:trHeight w:val="340"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220" w:type="dxa"/>
            <w:tcBorders>
              <w:top w:val="single" w:color="auto" w:sz="4" w:space="0"/>
              <w:left w:val="nil"/>
              <w:bottom w:val="single" w:color="auto" w:sz="4" w:space="0"/>
              <w:right w:val="single" w:color="auto" w:sz="4" w:space="0"/>
            </w:tcBorders>
            <w:vAlign w:val="center"/>
          </w:tcPr>
          <w:p>
            <w:pPr>
              <w:spacing w:after="0"/>
              <w:jc w:val="center"/>
              <w:textAlignment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20"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color w:val="auto"/>
                <w:sz w:val="24"/>
                <w:szCs w:val="24"/>
                <w:highlight w:val="none"/>
              </w:rPr>
            </w:pPr>
          </w:p>
        </w:tc>
        <w:tc>
          <w:tcPr>
            <w:tcW w:w="810"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color w:val="auto"/>
                <w:sz w:val="24"/>
                <w:szCs w:val="24"/>
                <w:highlight w:val="none"/>
              </w:rPr>
            </w:pPr>
          </w:p>
        </w:tc>
        <w:tc>
          <w:tcPr>
            <w:tcW w:w="840"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color w:val="auto"/>
                <w:sz w:val="24"/>
                <w:szCs w:val="24"/>
                <w:highlight w:val="none"/>
              </w:rPr>
            </w:pPr>
          </w:p>
        </w:tc>
        <w:tc>
          <w:tcPr>
            <w:tcW w:w="1339"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color w:val="auto"/>
                <w:sz w:val="24"/>
                <w:szCs w:val="24"/>
                <w:highlight w:val="none"/>
              </w:rPr>
            </w:pPr>
          </w:p>
        </w:tc>
        <w:tc>
          <w:tcPr>
            <w:tcW w:w="1047" w:type="dxa"/>
            <w:tcBorders>
              <w:top w:val="single" w:color="auto" w:sz="4" w:space="0"/>
              <w:left w:val="nil"/>
              <w:bottom w:val="single" w:color="auto" w:sz="4" w:space="0"/>
              <w:right w:val="single" w:color="auto" w:sz="4" w:space="0"/>
            </w:tcBorders>
            <w:vAlign w:val="center"/>
          </w:tcPr>
          <w:p>
            <w:pPr>
              <w:spacing w:after="0"/>
              <w:jc w:val="center"/>
              <w:rPr>
                <w:rFonts w:ascii="宋体" w:hAnsi="宋体" w:eastAsia="宋体" w:cs="宋体"/>
                <w:color w:val="auto"/>
                <w:sz w:val="24"/>
                <w:szCs w:val="24"/>
                <w:highlight w:val="none"/>
              </w:rPr>
            </w:pPr>
          </w:p>
        </w:tc>
      </w:tr>
    </w:tbl>
    <w:p>
      <w:pPr>
        <w:keepNext w:val="0"/>
        <w:keepLines w:val="0"/>
        <w:pageBreakBefore w:val="0"/>
        <w:widowControl/>
        <w:tabs>
          <w:tab w:val="left" w:pos="735"/>
        </w:tabs>
        <w:kinsoku/>
        <w:wordWrap/>
        <w:overflowPunct/>
        <w:topLinePunct w:val="0"/>
        <w:autoSpaceDE/>
        <w:autoSpaceDN/>
        <w:bidi w:val="0"/>
        <w:adjustRightInd w:val="0"/>
        <w:snapToGrid w:val="0"/>
        <w:spacing w:after="0" w:line="360" w:lineRule="auto"/>
        <w:ind w:right="0" w:rightChars="0"/>
        <w:jc w:val="left"/>
        <w:textAlignment w:val="auto"/>
        <w:outlineLvl w:val="9"/>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说明：上表格式中序号仅为举例，不限此数，按需列出。</w:t>
      </w:r>
    </w:p>
    <w:p>
      <w:pPr>
        <w:keepNext w:val="0"/>
        <w:keepLines w:val="0"/>
        <w:pageBreakBefore w:val="0"/>
        <w:widowControl/>
        <w:numPr>
          <w:ilvl w:val="2"/>
          <w:numId w:val="17"/>
        </w:numPr>
        <w:tabs>
          <w:tab w:val="left" w:pos="0"/>
        </w:tabs>
        <w:kinsoku/>
        <w:wordWrap/>
        <w:overflowPunct/>
        <w:topLinePunct w:val="0"/>
        <w:autoSpaceDE/>
        <w:autoSpaceDN/>
        <w:bidi w:val="0"/>
        <w:adjustRightInd w:val="0"/>
        <w:snapToGrid w:val="0"/>
        <w:spacing w:after="0" w:line="360" w:lineRule="auto"/>
        <w:ind w:right="0" w:rightChars="0"/>
        <w:jc w:val="left"/>
        <w:textAlignment w:val="auto"/>
        <w:outlineLvl w:val="9"/>
        <w:rPr>
          <w:rFonts w:ascii="宋体" w:hAnsi="宋体" w:eastAsia="宋体"/>
          <w:color w:val="auto"/>
          <w:sz w:val="24"/>
          <w:szCs w:val="24"/>
          <w:highlight w:val="none"/>
        </w:rPr>
      </w:pPr>
      <w:r>
        <w:rPr>
          <w:rFonts w:hint="eastAsia" w:ascii="宋体" w:hAnsi="宋体" w:eastAsia="宋体"/>
          <w:color w:val="auto"/>
          <w:sz w:val="24"/>
          <w:szCs w:val="24"/>
          <w:highlight w:val="none"/>
        </w:rPr>
        <w:t>投标人提供的技术标书，应当包括如下内容：</w:t>
      </w:r>
    </w:p>
    <w:p>
      <w:pPr>
        <w:keepNext w:val="0"/>
        <w:keepLines w:val="0"/>
        <w:pageBreakBefore w:val="0"/>
        <w:widowControl/>
        <w:kinsoku/>
        <w:wordWrap/>
        <w:overflowPunct/>
        <w:topLinePunct w:val="0"/>
        <w:autoSpaceDE/>
        <w:autoSpaceDN/>
        <w:bidi w:val="0"/>
        <w:adjustRightInd w:val="0"/>
        <w:snapToGrid w:val="0"/>
        <w:spacing w:after="0" w:line="360" w:lineRule="auto"/>
        <w:ind w:left="880" w:leftChars="400" w:right="0" w:rightChars="0"/>
        <w:jc w:val="left"/>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附件1：技术方案详述</w:t>
      </w:r>
    </w:p>
    <w:p>
      <w:pPr>
        <w:keepNext w:val="0"/>
        <w:keepLines w:val="0"/>
        <w:pageBreakBefore w:val="0"/>
        <w:widowControl/>
        <w:kinsoku/>
        <w:wordWrap/>
        <w:overflowPunct/>
        <w:topLinePunct w:val="0"/>
        <w:autoSpaceDE/>
        <w:autoSpaceDN/>
        <w:bidi w:val="0"/>
        <w:adjustRightInd w:val="0"/>
        <w:snapToGrid w:val="0"/>
        <w:spacing w:after="0" w:line="360" w:lineRule="auto"/>
        <w:ind w:left="880" w:leftChars="400" w:right="0" w:rightChars="0"/>
        <w:jc w:val="left"/>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附件2：主要设备配置、供货范围及设计、设备分交表</w:t>
      </w:r>
    </w:p>
    <w:p>
      <w:pPr>
        <w:keepNext w:val="0"/>
        <w:keepLines w:val="0"/>
        <w:pageBreakBefore w:val="0"/>
        <w:widowControl/>
        <w:kinsoku/>
        <w:wordWrap/>
        <w:overflowPunct/>
        <w:topLinePunct w:val="0"/>
        <w:autoSpaceDE/>
        <w:autoSpaceDN/>
        <w:bidi w:val="0"/>
        <w:adjustRightInd w:val="0"/>
        <w:snapToGrid w:val="0"/>
        <w:spacing w:after="0" w:line="360" w:lineRule="auto"/>
        <w:ind w:left="880" w:leftChars="400" w:right="0" w:rightChars="0"/>
        <w:jc w:val="left"/>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附件3：技术资料及其交付进度</w:t>
      </w:r>
    </w:p>
    <w:p>
      <w:pPr>
        <w:keepNext w:val="0"/>
        <w:keepLines w:val="0"/>
        <w:pageBreakBefore w:val="0"/>
        <w:widowControl/>
        <w:kinsoku/>
        <w:wordWrap/>
        <w:overflowPunct/>
        <w:topLinePunct w:val="0"/>
        <w:autoSpaceDE/>
        <w:autoSpaceDN/>
        <w:bidi w:val="0"/>
        <w:adjustRightInd w:val="0"/>
        <w:snapToGrid w:val="0"/>
        <w:spacing w:after="0" w:line="360" w:lineRule="auto"/>
        <w:ind w:left="880" w:leftChars="400" w:right="0" w:rightChars="0"/>
        <w:jc w:val="left"/>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附件4：施工技术及实施方案</w:t>
      </w:r>
    </w:p>
    <w:p>
      <w:pPr>
        <w:keepNext w:val="0"/>
        <w:keepLines w:val="0"/>
        <w:pageBreakBefore w:val="0"/>
        <w:widowControl/>
        <w:kinsoku/>
        <w:wordWrap/>
        <w:overflowPunct/>
        <w:topLinePunct w:val="0"/>
        <w:autoSpaceDE/>
        <w:autoSpaceDN/>
        <w:bidi w:val="0"/>
        <w:adjustRightInd w:val="0"/>
        <w:snapToGrid w:val="0"/>
        <w:spacing w:after="0" w:line="360" w:lineRule="auto"/>
        <w:ind w:left="880" w:leftChars="400" w:right="0" w:rightChars="0"/>
        <w:jc w:val="left"/>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附件5：人员培训</w:t>
      </w:r>
    </w:p>
    <w:p>
      <w:pPr>
        <w:keepNext w:val="0"/>
        <w:keepLines w:val="0"/>
        <w:pageBreakBefore w:val="0"/>
        <w:widowControl/>
        <w:kinsoku/>
        <w:wordWrap/>
        <w:overflowPunct/>
        <w:topLinePunct w:val="0"/>
        <w:autoSpaceDE/>
        <w:autoSpaceDN/>
        <w:bidi w:val="0"/>
        <w:adjustRightInd w:val="0"/>
        <w:snapToGrid w:val="0"/>
        <w:spacing w:after="0" w:line="360" w:lineRule="auto"/>
        <w:ind w:left="880" w:leftChars="400" w:right="0" w:rightChars="0"/>
        <w:jc w:val="left"/>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附件6：技术服务</w:t>
      </w:r>
    </w:p>
    <w:p>
      <w:pPr>
        <w:keepNext w:val="0"/>
        <w:keepLines w:val="0"/>
        <w:pageBreakBefore w:val="0"/>
        <w:widowControl/>
        <w:kinsoku/>
        <w:wordWrap/>
        <w:overflowPunct/>
        <w:topLinePunct w:val="0"/>
        <w:autoSpaceDE/>
        <w:autoSpaceDN/>
        <w:bidi w:val="0"/>
        <w:adjustRightInd w:val="0"/>
        <w:snapToGrid w:val="0"/>
        <w:spacing w:after="0" w:line="360" w:lineRule="auto"/>
        <w:ind w:left="880" w:leftChars="400" w:right="0" w:rightChars="0"/>
        <w:jc w:val="left"/>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附件7；保证值和考核办法</w:t>
      </w:r>
    </w:p>
    <w:p>
      <w:pPr>
        <w:keepNext w:val="0"/>
        <w:keepLines w:val="0"/>
        <w:pageBreakBefore w:val="0"/>
        <w:widowControl/>
        <w:kinsoku/>
        <w:wordWrap/>
        <w:overflowPunct/>
        <w:topLinePunct w:val="0"/>
        <w:autoSpaceDE/>
        <w:autoSpaceDN/>
        <w:bidi w:val="0"/>
        <w:adjustRightInd w:val="0"/>
        <w:snapToGrid w:val="0"/>
        <w:spacing w:after="0" w:line="360" w:lineRule="auto"/>
        <w:ind w:left="880" w:leftChars="400" w:right="0" w:rightChars="0"/>
        <w:jc w:val="left"/>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附件8：平立面工艺布置图及其他附图</w:t>
      </w:r>
    </w:p>
    <w:p>
      <w:pPr>
        <w:keepNext w:val="0"/>
        <w:keepLines w:val="0"/>
        <w:pageBreakBefore w:val="0"/>
        <w:widowControl/>
        <w:kinsoku/>
        <w:wordWrap/>
        <w:overflowPunct/>
        <w:topLinePunct w:val="0"/>
        <w:autoSpaceDE/>
        <w:autoSpaceDN/>
        <w:bidi w:val="0"/>
        <w:adjustRightInd w:val="0"/>
        <w:snapToGrid w:val="0"/>
        <w:spacing w:after="0" w:line="360" w:lineRule="auto"/>
        <w:ind w:left="880" w:leftChars="400" w:right="0" w:rightChars="0"/>
        <w:jc w:val="left"/>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附件9：专利及技术诀窍等</w:t>
      </w:r>
    </w:p>
    <w:p>
      <w:pPr>
        <w:keepNext w:val="0"/>
        <w:keepLines w:val="0"/>
        <w:pageBreakBefore w:val="0"/>
        <w:widowControl/>
        <w:kinsoku/>
        <w:wordWrap/>
        <w:overflowPunct/>
        <w:topLinePunct w:val="0"/>
        <w:autoSpaceDE/>
        <w:autoSpaceDN/>
        <w:bidi w:val="0"/>
        <w:adjustRightInd w:val="0"/>
        <w:snapToGrid w:val="0"/>
        <w:spacing w:after="0" w:line="360" w:lineRule="auto"/>
        <w:ind w:left="880" w:leftChars="400" w:right="0" w:rightChars="0"/>
        <w:jc w:val="left"/>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附件10：设备制造标准及出厂前检验</w:t>
      </w:r>
    </w:p>
    <w:p>
      <w:pPr>
        <w:keepNext w:val="0"/>
        <w:keepLines w:val="0"/>
        <w:pageBreakBefore w:val="0"/>
        <w:widowControl/>
        <w:kinsoku/>
        <w:wordWrap/>
        <w:overflowPunct/>
        <w:topLinePunct w:val="0"/>
        <w:autoSpaceDE/>
        <w:autoSpaceDN/>
        <w:bidi w:val="0"/>
        <w:adjustRightInd w:val="0"/>
        <w:snapToGrid w:val="0"/>
        <w:spacing w:after="0" w:line="360" w:lineRule="auto"/>
        <w:ind w:left="880" w:leftChars="400" w:right="0" w:rightChars="0"/>
        <w:jc w:val="left"/>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附件11：备件及消耗件清单</w:t>
      </w:r>
    </w:p>
    <w:p>
      <w:pPr>
        <w:keepNext w:val="0"/>
        <w:keepLines w:val="0"/>
        <w:pageBreakBefore w:val="0"/>
        <w:widowControl/>
        <w:kinsoku/>
        <w:wordWrap/>
        <w:overflowPunct/>
        <w:topLinePunct w:val="0"/>
        <w:autoSpaceDE/>
        <w:autoSpaceDN/>
        <w:bidi w:val="0"/>
        <w:adjustRightInd w:val="0"/>
        <w:snapToGrid w:val="0"/>
        <w:spacing w:after="0" w:line="360" w:lineRule="auto"/>
        <w:ind w:left="880" w:leftChars="400" w:right="0" w:rightChars="0"/>
        <w:jc w:val="left"/>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附件12：子供货商明细表</w:t>
      </w:r>
    </w:p>
    <w:p>
      <w:pPr>
        <w:keepNext w:val="0"/>
        <w:keepLines w:val="0"/>
        <w:pageBreakBefore w:val="0"/>
        <w:widowControl/>
        <w:kinsoku/>
        <w:wordWrap/>
        <w:overflowPunct/>
        <w:topLinePunct w:val="0"/>
        <w:autoSpaceDE/>
        <w:autoSpaceDN/>
        <w:bidi w:val="0"/>
        <w:adjustRightInd w:val="0"/>
        <w:snapToGrid w:val="0"/>
        <w:spacing w:after="0" w:line="360" w:lineRule="auto"/>
        <w:ind w:left="880" w:leftChars="400" w:right="0" w:rightChars="0"/>
        <w:jc w:val="left"/>
        <w:textAlignment w:val="auto"/>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附件13：设备交货及建设进度</w:t>
      </w:r>
    </w:p>
    <w:p>
      <w:pPr>
        <w:keepNext w:val="0"/>
        <w:keepLines w:val="0"/>
        <w:pageBreakBefore w:val="0"/>
        <w:widowControl/>
        <w:kinsoku/>
        <w:wordWrap/>
        <w:overflowPunct/>
        <w:topLinePunct w:val="0"/>
        <w:autoSpaceDE/>
        <w:autoSpaceDN/>
        <w:bidi w:val="0"/>
        <w:adjustRightInd w:val="0"/>
        <w:snapToGrid w:val="0"/>
        <w:spacing w:after="0" w:line="360" w:lineRule="auto"/>
        <w:ind w:left="880" w:leftChars="40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附件14：资质及业绩表</w:t>
      </w:r>
    </w:p>
    <w:p>
      <w:pPr>
        <w:pStyle w:val="2"/>
        <w:numPr>
          <w:ilvl w:val="0"/>
          <w:numId w:val="18"/>
        </w:numPr>
        <w:ind w:left="1260" w:leftChars="0" w:hanging="420" w:firstLineChars="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提供近三年的改造业绩及效果证明。</w:t>
      </w:r>
    </w:p>
    <w:p>
      <w:pPr>
        <w:pStyle w:val="2"/>
        <w:rPr>
          <w:highlight w:val="none"/>
        </w:rPr>
      </w:pPr>
    </w:p>
    <w:p>
      <w:pPr>
        <w:keepNext w:val="0"/>
        <w:keepLines w:val="0"/>
        <w:pageBreakBefore w:val="0"/>
        <w:widowControl w:val="0"/>
        <w:numPr>
          <w:ilvl w:val="0"/>
          <w:numId w:val="1"/>
        </w:numPr>
        <w:kinsoku/>
        <w:wordWrap/>
        <w:overflowPunct/>
        <w:autoSpaceDE/>
        <w:autoSpaceDN/>
        <w:bidi w:val="0"/>
        <w:adjustRightInd/>
        <w:snapToGrid/>
        <w:spacing w:after="0" w:line="360" w:lineRule="auto"/>
        <w:ind w:right="0" w:rightChars="0"/>
        <w:jc w:val="both"/>
        <w:textAlignment w:val="auto"/>
        <w:outlineLvl w:val="9"/>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建安工程要求</w:t>
      </w:r>
    </w:p>
    <w:p>
      <w:pPr>
        <w:pStyle w:val="14"/>
        <w:jc w:val="left"/>
        <w:rPr>
          <w:rFonts w:hint="eastAsia" w:ascii="宋体" w:hAnsi="宋体" w:eastAsia="宋体" w:cs="宋体"/>
          <w:b/>
          <w:color w:val="auto"/>
          <w:w w:val="100"/>
          <w:kern w:val="0"/>
          <w:sz w:val="24"/>
          <w:szCs w:val="24"/>
          <w:highlight w:val="none"/>
          <w:lang w:val="en-US" w:eastAsia="zh-CN" w:bidi="ar-SA"/>
        </w:rPr>
      </w:pPr>
      <w:r>
        <w:rPr>
          <w:rFonts w:hint="default" w:ascii="宋体" w:hAnsi="宋体" w:eastAsia="宋体" w:cs="宋体"/>
          <w:b/>
          <w:color w:val="auto"/>
          <w:w w:val="100"/>
          <w:kern w:val="0"/>
          <w:sz w:val="24"/>
          <w:szCs w:val="24"/>
          <w:highlight w:val="none"/>
          <w:lang w:val="en-US" w:eastAsia="zh-CN" w:bidi="ar-SA"/>
        </w:rPr>
        <w:t xml:space="preserve"> 1</w:t>
      </w:r>
      <w:r>
        <w:rPr>
          <w:rFonts w:hint="eastAsia" w:ascii="宋体" w:hAnsi="宋体" w:cs="宋体"/>
          <w:b/>
          <w:color w:val="auto"/>
          <w:w w:val="100"/>
          <w:kern w:val="0"/>
          <w:sz w:val="24"/>
          <w:szCs w:val="24"/>
          <w:highlight w:val="none"/>
          <w:lang w:val="en-US" w:eastAsia="zh-CN" w:bidi="ar-SA"/>
        </w:rPr>
        <w:t>、</w:t>
      </w:r>
      <w:r>
        <w:rPr>
          <w:rFonts w:hint="default" w:ascii="宋体" w:hAnsi="宋体" w:eastAsia="宋体" w:cs="宋体"/>
          <w:b/>
          <w:color w:val="auto"/>
          <w:w w:val="100"/>
          <w:kern w:val="0"/>
          <w:sz w:val="24"/>
          <w:szCs w:val="24"/>
          <w:highlight w:val="none"/>
          <w:lang w:val="en-US" w:eastAsia="zh-CN" w:bidi="ar-SA"/>
        </w:rPr>
        <w:t>对标方资质要求</w:t>
      </w:r>
    </w:p>
    <w:p>
      <w:pPr>
        <w:ind w:firstLine="480"/>
        <w:jc w:val="both"/>
        <w:rPr>
          <w:color w:val="auto"/>
          <w:highlight w:val="none"/>
        </w:rPr>
      </w:pPr>
      <w:r>
        <w:rPr>
          <w:rFonts w:hint="default" w:ascii="宋体" w:hAnsi="宋体" w:eastAsia="宋体" w:cs="Times New Roman"/>
          <w:color w:val="auto"/>
          <w:highlight w:val="none"/>
          <w:lang w:val="zh-CN"/>
        </w:rPr>
        <w:t>开标前投标方需查看现场，并与业主在工艺方案、配置、平面布置图（新上设备的平面位置）等进行技术交流。</w:t>
      </w:r>
    </w:p>
    <w:p>
      <w:pPr>
        <w:ind w:firstLine="480"/>
        <w:jc w:val="both"/>
        <w:rPr>
          <w:color w:val="auto"/>
          <w:highlight w:val="none"/>
        </w:rPr>
      </w:pPr>
      <w:r>
        <w:rPr>
          <w:rFonts w:hint="default" w:ascii="宋体" w:hAnsi="宋体" w:eastAsia="宋体" w:cs="Times New Roman"/>
          <w:color w:val="auto"/>
          <w:highlight w:val="none"/>
          <w:lang w:val="zh-CN"/>
        </w:rPr>
        <w:t>（1）在中华人民共和国工商管理部门注册，且具有中华人民共和国独立法人资格，且具有履行合同和履行民事责任的能力，营业执照处于有效期。</w:t>
      </w:r>
    </w:p>
    <w:p>
      <w:pPr>
        <w:ind w:firstLine="480"/>
        <w:jc w:val="both"/>
        <w:rPr>
          <w:color w:val="auto"/>
          <w:highlight w:val="none"/>
        </w:rPr>
      </w:pPr>
      <w:r>
        <w:rPr>
          <w:rFonts w:hint="default" w:ascii="宋体" w:hAnsi="宋体" w:eastAsia="宋体" w:cs="Times New Roman"/>
          <w:color w:val="auto"/>
          <w:highlight w:val="none"/>
          <w:lang w:val="zh-CN" w:eastAsia="zh-CN"/>
        </w:rPr>
        <w:t>（2）具备承担本项目的资金及资信能力；</w:t>
      </w:r>
    </w:p>
    <w:p>
      <w:pPr>
        <w:ind w:firstLine="480"/>
        <w:jc w:val="both"/>
        <w:rPr>
          <w:color w:val="auto"/>
          <w:highlight w:val="none"/>
        </w:rPr>
      </w:pPr>
      <w:r>
        <w:rPr>
          <w:rFonts w:hint="default" w:ascii="宋体" w:hAnsi="宋体" w:eastAsia="宋体" w:cs="Times New Roman"/>
          <w:color w:val="auto"/>
          <w:highlight w:val="none"/>
          <w:lang w:val="zh-CN"/>
        </w:rPr>
        <w:t>（</w:t>
      </w:r>
      <w:r>
        <w:rPr>
          <w:rFonts w:hint="default" w:ascii="宋体" w:hAnsi="宋体" w:eastAsia="宋体" w:cs="Times New Roman"/>
          <w:color w:val="auto"/>
          <w:highlight w:val="none"/>
          <w:lang w:val="en-US" w:eastAsia="zh-CN"/>
        </w:rPr>
        <w:t>3</w:t>
      </w:r>
      <w:r>
        <w:rPr>
          <w:rFonts w:hint="default" w:ascii="宋体" w:hAnsi="宋体" w:eastAsia="宋体" w:cs="Times New Roman"/>
          <w:color w:val="auto"/>
          <w:highlight w:val="none"/>
          <w:lang w:val="zh-CN"/>
        </w:rPr>
        <w:t>）投标方具备资质满足以下</w:t>
      </w:r>
      <w:r>
        <w:rPr>
          <w:rFonts w:hint="default" w:ascii="宋体" w:hAnsi="宋体" w:eastAsia="宋体" w:cs="Times New Roman"/>
          <w:color w:val="auto"/>
          <w:highlight w:val="none"/>
          <w:lang w:val="zh-CN" w:eastAsia="zh-CN"/>
        </w:rPr>
        <w:t>要求</w:t>
      </w:r>
      <w:r>
        <w:rPr>
          <w:rFonts w:hint="default" w:ascii="宋体" w:hAnsi="宋体" w:eastAsia="宋体" w:cs="Times New Roman"/>
          <w:color w:val="auto"/>
          <w:highlight w:val="none"/>
          <w:lang w:val="zh-CN"/>
        </w:rPr>
        <w:t>：</w:t>
      </w:r>
    </w:p>
    <w:p>
      <w:pPr>
        <w:ind w:firstLine="480"/>
        <w:jc w:val="both"/>
        <w:rPr>
          <w:color w:val="auto"/>
          <w:highlight w:val="none"/>
        </w:rPr>
      </w:pPr>
      <w:r>
        <w:rPr>
          <w:rFonts w:hint="default" w:ascii="宋体" w:hAnsi="宋体" w:eastAsia="宋体" w:cs="Times New Roman"/>
          <w:color w:val="auto"/>
          <w:highlight w:val="none"/>
          <w:lang w:val="zh-CN"/>
        </w:rPr>
        <w:t>施工资质</w:t>
      </w:r>
      <w:r>
        <w:rPr>
          <w:rFonts w:hint="eastAsia" w:ascii="宋体" w:hAnsi="宋体" w:cs="Times New Roman"/>
          <w:color w:val="auto"/>
          <w:highlight w:val="none"/>
          <w:lang w:val="zh-CN"/>
        </w:rPr>
        <w:t>：</w:t>
      </w:r>
      <w:r>
        <w:rPr>
          <w:rFonts w:ascii="宋体" w:hAnsi="宋体" w:eastAsia="宋体" w:cs="宋体"/>
          <w:color w:val="auto"/>
          <w:sz w:val="24"/>
          <w:szCs w:val="24"/>
          <w:highlight w:val="none"/>
        </w:rPr>
        <w:t>环保工程专业承包资质</w:t>
      </w:r>
      <w:r>
        <w:rPr>
          <w:rFonts w:hint="eastAsia" w:ascii="宋体" w:hAnsi="宋体" w:eastAsia="宋体" w:cs="宋体"/>
          <w:color w:val="auto"/>
          <w:sz w:val="24"/>
          <w:szCs w:val="24"/>
          <w:highlight w:val="none"/>
          <w:lang w:val="en-US" w:eastAsia="zh-CN"/>
        </w:rPr>
        <w:t>三</w:t>
      </w:r>
      <w:r>
        <w:rPr>
          <w:rFonts w:hint="default" w:ascii="宋体" w:hAnsi="宋体" w:eastAsia="宋体" w:cs="Times New Roman"/>
          <w:color w:val="auto"/>
          <w:highlight w:val="none"/>
          <w:lang w:val="zh-CN" w:eastAsia="zh-CN"/>
        </w:rPr>
        <w:t>级资质或机电工程施工总承包三</w:t>
      </w:r>
      <w:r>
        <w:rPr>
          <w:rFonts w:hint="default" w:ascii="宋体" w:hAnsi="宋体" w:eastAsia="宋体" w:cs="Times New Roman"/>
          <w:color w:val="auto"/>
          <w:highlight w:val="none"/>
          <w:lang w:val="zh-CN"/>
        </w:rPr>
        <w:t>级及以上资质。</w:t>
      </w:r>
    </w:p>
    <w:p>
      <w:pPr>
        <w:ind w:firstLine="480"/>
        <w:jc w:val="both"/>
        <w:rPr>
          <w:color w:val="auto"/>
          <w:highlight w:val="none"/>
        </w:rPr>
      </w:pPr>
      <w:bookmarkStart w:id="61" w:name="_Toc361952047"/>
      <w:r>
        <w:rPr>
          <w:rFonts w:hint="default" w:ascii="宋体" w:hAnsi="宋体" w:eastAsia="宋体" w:cs="Times New Roman"/>
          <w:color w:val="auto"/>
          <w:highlight w:val="none"/>
          <w:lang w:val="zh-CN" w:eastAsia="zh-CN"/>
        </w:rPr>
        <w:t>（4）具有有效的安全生产许可证；</w:t>
      </w:r>
    </w:p>
    <w:p>
      <w:pPr>
        <w:ind w:firstLine="480"/>
        <w:jc w:val="both"/>
        <w:rPr>
          <w:color w:val="auto"/>
          <w:highlight w:val="none"/>
        </w:rPr>
      </w:pPr>
      <w:r>
        <w:rPr>
          <w:rFonts w:hint="default" w:ascii="宋体" w:hAnsi="宋体" w:eastAsia="宋体" w:cs="Times New Roman"/>
          <w:color w:val="auto"/>
          <w:highlight w:val="none"/>
          <w:lang w:val="zh-CN" w:eastAsia="zh-CN"/>
        </w:rPr>
        <w:t>（5）能够按国家规定和招标方要求开具增值税专用发票；</w:t>
      </w:r>
    </w:p>
    <w:p>
      <w:pPr>
        <w:ind w:firstLine="480"/>
        <w:jc w:val="both"/>
        <w:rPr>
          <w:color w:val="auto"/>
          <w:highlight w:val="none"/>
        </w:rPr>
      </w:pPr>
      <w:r>
        <w:rPr>
          <w:rFonts w:hint="default" w:ascii="宋体" w:hAnsi="宋体" w:eastAsia="宋体" w:cs="Times New Roman"/>
          <w:color w:val="auto"/>
          <w:highlight w:val="none"/>
          <w:lang w:val="zh-CN" w:eastAsia="zh-CN"/>
        </w:rPr>
        <w:t>（6）需拥有自主知识产权，不得在建设过程中或以后运行期间产生法律纠纷问题，由投标方知识产权纠纷产生的连带责任，由投标方负责。</w:t>
      </w:r>
    </w:p>
    <w:p>
      <w:pPr>
        <w:ind w:firstLine="480"/>
        <w:jc w:val="both"/>
        <w:rPr>
          <w:color w:val="auto"/>
          <w:highlight w:val="none"/>
        </w:rPr>
      </w:pPr>
      <w:r>
        <w:rPr>
          <w:rFonts w:hint="default" w:ascii="宋体" w:hAnsi="宋体" w:eastAsia="宋体" w:cs="Times New Roman"/>
          <w:color w:val="auto"/>
          <w:highlight w:val="none"/>
          <w:lang w:val="zh-CN" w:eastAsia="zh-CN"/>
        </w:rPr>
        <w:t>（7）本项目接受联合体投标，联合体投标的，应满足下列要求：联合体允许最多2家单位联合组成，并满足上述（1）至（6）项的要求，联合体各成员均要为独立法人资格。</w:t>
      </w:r>
    </w:p>
    <w:p>
      <w:pPr>
        <w:ind w:firstLine="480"/>
        <w:jc w:val="both"/>
        <w:rPr>
          <w:color w:val="auto"/>
          <w:highlight w:val="none"/>
        </w:rPr>
      </w:pPr>
      <w:r>
        <w:rPr>
          <w:rFonts w:hint="default" w:ascii="宋体" w:hAnsi="宋体" w:eastAsia="宋体" w:cs="Times New Roman"/>
          <w:color w:val="auto"/>
          <w:highlight w:val="none"/>
          <w:lang w:val="zh-CN" w:eastAsia="zh-CN"/>
        </w:rPr>
        <w:t>（8）投标方中标后，不能再进行非法转包。</w:t>
      </w:r>
      <w:bookmarkEnd w:id="61"/>
    </w:p>
    <w:p>
      <w:pPr>
        <w:ind w:firstLine="480"/>
        <w:jc w:val="both"/>
        <w:rPr>
          <w:rFonts w:hint="default" w:ascii="宋体" w:hAnsi="宋体" w:eastAsia="宋体" w:cs="Times New Roman"/>
          <w:color w:val="auto"/>
          <w:highlight w:val="none"/>
          <w:lang w:val="zh-CN" w:eastAsia="zh-CN"/>
        </w:rPr>
      </w:pPr>
      <w:r>
        <w:rPr>
          <w:rFonts w:hint="default" w:ascii="宋体" w:hAnsi="宋体" w:eastAsia="宋体" w:cs="Times New Roman"/>
          <w:color w:val="auto"/>
          <w:highlight w:val="none"/>
          <w:lang w:val="zh-CN" w:eastAsia="zh-CN"/>
        </w:rPr>
        <w:t>（</w:t>
      </w:r>
      <w:r>
        <w:rPr>
          <w:rFonts w:hint="default" w:ascii="宋体" w:hAnsi="宋体" w:eastAsia="宋体" w:cs="Times New Roman"/>
          <w:color w:val="auto"/>
          <w:highlight w:val="none"/>
          <w:lang w:val="en-US" w:eastAsia="zh-CN"/>
        </w:rPr>
        <w:t>9</w:t>
      </w:r>
      <w:r>
        <w:rPr>
          <w:rFonts w:hint="default" w:ascii="宋体" w:hAnsi="宋体" w:eastAsia="宋体" w:cs="Times New Roman"/>
          <w:color w:val="auto"/>
          <w:highlight w:val="none"/>
          <w:lang w:val="zh-CN" w:eastAsia="zh-CN"/>
        </w:rPr>
        <w:t>）项目经理</w:t>
      </w:r>
      <w:r>
        <w:rPr>
          <w:rFonts w:hint="default" w:ascii="宋体" w:hAnsi="宋体" w:eastAsia="宋体" w:cs="Times New Roman"/>
          <w:color w:val="auto"/>
          <w:highlight w:val="none"/>
          <w:lang w:val="en-US" w:eastAsia="zh-CN"/>
        </w:rPr>
        <w:t>至少</w:t>
      </w:r>
      <w:r>
        <w:rPr>
          <w:rFonts w:hint="default" w:ascii="宋体" w:hAnsi="宋体" w:eastAsia="宋体" w:cs="Times New Roman"/>
          <w:color w:val="auto"/>
          <w:highlight w:val="none"/>
          <w:lang w:val="zh-CN" w:eastAsia="zh-CN"/>
        </w:rPr>
        <w:t>具有相应的国家二级建造师注册人员。</w:t>
      </w:r>
    </w:p>
    <w:p>
      <w:pPr>
        <w:pStyle w:val="14"/>
        <w:jc w:val="left"/>
        <w:rPr>
          <w:rFonts w:hint="default" w:ascii="宋体" w:hAnsi="宋体" w:eastAsia="宋体" w:cs="宋体"/>
          <w:b/>
          <w:color w:val="auto"/>
          <w:w w:val="100"/>
          <w:kern w:val="0"/>
          <w:sz w:val="24"/>
          <w:szCs w:val="24"/>
          <w:highlight w:val="none"/>
          <w:lang w:val="en-US" w:eastAsia="zh-CN" w:bidi="ar-SA"/>
        </w:rPr>
      </w:pPr>
      <w:r>
        <w:rPr>
          <w:rFonts w:hint="default" w:ascii="宋体" w:hAnsi="宋体" w:eastAsia="宋体" w:cs="宋体"/>
          <w:b/>
          <w:color w:val="auto"/>
          <w:w w:val="100"/>
          <w:kern w:val="0"/>
          <w:sz w:val="24"/>
          <w:szCs w:val="24"/>
          <w:highlight w:val="none"/>
          <w:lang w:val="en-US" w:eastAsia="zh-CN" w:bidi="ar-SA"/>
        </w:rPr>
        <w:t>2</w:t>
      </w:r>
      <w:r>
        <w:rPr>
          <w:rFonts w:hint="eastAsia" w:ascii="宋体" w:hAnsi="宋体" w:eastAsia="宋体" w:cs="宋体"/>
          <w:b/>
          <w:color w:val="auto"/>
          <w:w w:val="100"/>
          <w:kern w:val="0"/>
          <w:sz w:val="24"/>
          <w:szCs w:val="24"/>
          <w:highlight w:val="none"/>
          <w:lang w:val="en-US" w:eastAsia="zh-CN" w:bidi="ar-SA"/>
        </w:rPr>
        <w:t>、</w:t>
      </w:r>
      <w:r>
        <w:rPr>
          <w:rFonts w:hint="default" w:ascii="宋体" w:hAnsi="宋体" w:eastAsia="宋体" w:cs="宋体"/>
          <w:b/>
          <w:color w:val="auto"/>
          <w:w w:val="100"/>
          <w:kern w:val="0"/>
          <w:sz w:val="24"/>
          <w:szCs w:val="24"/>
          <w:highlight w:val="none"/>
          <w:lang w:val="en-US" w:eastAsia="zh-CN" w:bidi="ar-SA"/>
        </w:rPr>
        <w:t>建安工程要求</w:t>
      </w:r>
    </w:p>
    <w:p>
      <w:pPr>
        <w:ind w:firstLine="480"/>
        <w:jc w:val="both"/>
        <w:rPr>
          <w:color w:val="auto"/>
          <w:highlight w:val="none"/>
        </w:rPr>
      </w:pPr>
      <w:r>
        <w:rPr>
          <w:rFonts w:hint="eastAsia" w:ascii="宋体" w:hAnsi="宋体" w:eastAsia="宋体" w:cs="Times New Roman"/>
          <w:color w:val="auto"/>
          <w:highlight w:val="none"/>
          <w:lang w:val="zh-CN"/>
        </w:rPr>
        <w:t>（</w:t>
      </w:r>
      <w:r>
        <w:rPr>
          <w:rFonts w:hint="default" w:ascii="宋体" w:hAnsi="宋体" w:eastAsia="宋体" w:cs="Times New Roman"/>
          <w:color w:val="auto"/>
          <w:highlight w:val="none"/>
          <w:lang w:val="zh-CN"/>
        </w:rPr>
        <w:t>1</w:t>
      </w:r>
      <w:r>
        <w:rPr>
          <w:rFonts w:hint="eastAsia" w:ascii="宋体" w:hAnsi="宋体" w:eastAsia="宋体" w:cs="Times New Roman"/>
          <w:color w:val="auto"/>
          <w:highlight w:val="none"/>
          <w:lang w:val="zh-CN"/>
        </w:rPr>
        <w:t>）</w:t>
      </w:r>
      <w:r>
        <w:rPr>
          <w:rFonts w:hint="default" w:ascii="宋体" w:hAnsi="宋体" w:eastAsia="宋体" w:cs="Times New Roman"/>
          <w:color w:val="auto"/>
          <w:highlight w:val="none"/>
          <w:lang w:val="zh-CN"/>
        </w:rPr>
        <w:t>建安合同付款：</w:t>
      </w:r>
      <w:r>
        <w:rPr>
          <w:rFonts w:hint="default" w:ascii="宋体" w:hAnsi="宋体" w:eastAsia="宋体" w:cs="Times New Roman"/>
          <w:color w:val="auto"/>
          <w:highlight w:val="none"/>
          <w:lang w:val="zh-CN" w:eastAsia="zh-CN"/>
        </w:rPr>
        <w:t>承包人向工程师提交已完工程量报告的时间：承包人每月20日前向发包人代表提交已完工程量报告，发包人代表收到报告后5日内审核完毕。</w:t>
      </w:r>
    </w:p>
    <w:p>
      <w:pPr>
        <w:ind w:firstLine="480"/>
        <w:jc w:val="both"/>
        <w:rPr>
          <w:color w:val="auto"/>
          <w:highlight w:val="none"/>
        </w:rPr>
      </w:pPr>
      <w:r>
        <w:rPr>
          <w:rFonts w:hint="default" w:ascii="宋体" w:hAnsi="宋体" w:eastAsia="宋体" w:cs="Times New Roman"/>
          <w:color w:val="auto"/>
          <w:highlight w:val="none"/>
          <w:lang w:val="zh-CN" w:eastAsia="zh-CN"/>
        </w:rPr>
        <w:t>双方约定的工程款（进度款）支付的方式：发包人次月按审定的上月进度的70%支付承包人工程款，付款前提供等额增值税专用发票。</w:t>
      </w:r>
      <w:r>
        <w:rPr>
          <w:rFonts w:hint="default" w:ascii="宋体" w:hAnsi="宋体" w:eastAsia="宋体" w:cs="Times New Roman"/>
          <w:color w:val="auto"/>
          <w:highlight w:val="none"/>
          <w:lang w:val="zh-CN"/>
        </w:rPr>
        <w:t>（30万以下无进度款）</w:t>
      </w:r>
    </w:p>
    <w:p>
      <w:pPr>
        <w:ind w:firstLine="480"/>
        <w:jc w:val="both"/>
        <w:rPr>
          <w:color w:val="auto"/>
          <w:highlight w:val="none"/>
        </w:rPr>
      </w:pPr>
      <w:r>
        <w:rPr>
          <w:rFonts w:hint="default" w:ascii="宋体" w:hAnsi="宋体" w:eastAsia="宋体" w:cs="Times New Roman"/>
          <w:color w:val="auto"/>
          <w:highlight w:val="none"/>
          <w:lang w:val="zh-CN" w:eastAsia="zh-CN"/>
        </w:rPr>
        <w:t>工程竣工验收合格、结算审核后付至审核价的9</w:t>
      </w:r>
      <w:r>
        <w:rPr>
          <w:rFonts w:hint="default" w:ascii="宋体" w:hAnsi="宋体" w:eastAsia="宋体" w:cs="Times New Roman"/>
          <w:color w:val="auto"/>
          <w:highlight w:val="none"/>
          <w:lang w:val="zh-CN"/>
        </w:rPr>
        <w:t>7</w:t>
      </w:r>
      <w:r>
        <w:rPr>
          <w:rFonts w:hint="default" w:ascii="宋体" w:hAnsi="宋体" w:eastAsia="宋体" w:cs="Times New Roman"/>
          <w:color w:val="auto"/>
          <w:highlight w:val="none"/>
          <w:lang w:val="zh-CN" w:eastAsia="zh-CN"/>
        </w:rPr>
        <w:t>%，留</w:t>
      </w:r>
      <w:r>
        <w:rPr>
          <w:rFonts w:hint="default" w:ascii="宋体" w:hAnsi="宋体" w:eastAsia="宋体" w:cs="Times New Roman"/>
          <w:color w:val="auto"/>
          <w:highlight w:val="none"/>
          <w:lang w:val="zh-CN"/>
        </w:rPr>
        <w:t>3</w:t>
      </w:r>
      <w:r>
        <w:rPr>
          <w:rFonts w:hint="default" w:ascii="宋体" w:hAnsi="宋体" w:eastAsia="宋体" w:cs="Times New Roman"/>
          <w:color w:val="auto"/>
          <w:highlight w:val="none"/>
          <w:lang w:val="zh-CN" w:eastAsia="zh-CN"/>
        </w:rPr>
        <w:t>%为质保金，质保金返还按保修规定。承包人应于发包人支付全部或部分工程款项前向发包人开具增值税专用发票，工程款以6个月</w:t>
      </w:r>
      <w:r>
        <w:rPr>
          <w:rFonts w:hint="default" w:ascii="宋体" w:hAnsi="宋体" w:eastAsia="宋体" w:cs="Times New Roman"/>
          <w:color w:val="auto"/>
          <w:highlight w:val="none"/>
          <w:lang w:val="zh-CN"/>
        </w:rPr>
        <w:t>银行</w:t>
      </w:r>
      <w:r>
        <w:rPr>
          <w:rFonts w:hint="default" w:ascii="宋体" w:hAnsi="宋体" w:eastAsia="宋体" w:cs="Times New Roman"/>
          <w:color w:val="auto"/>
          <w:highlight w:val="none"/>
          <w:lang w:val="zh-CN" w:eastAsia="zh-CN"/>
        </w:rPr>
        <w:t>承兑汇票支付。</w:t>
      </w:r>
    </w:p>
    <w:p>
      <w:pPr>
        <w:ind w:firstLine="480"/>
        <w:jc w:val="both"/>
        <w:rPr>
          <w:color w:val="auto"/>
          <w:highlight w:val="none"/>
        </w:rPr>
      </w:pPr>
      <w:r>
        <w:rPr>
          <w:rFonts w:hint="default" w:ascii="宋体" w:hAnsi="宋体" w:eastAsia="宋体" w:cs="Times New Roman"/>
          <w:color w:val="auto"/>
          <w:highlight w:val="none"/>
          <w:lang w:val="zh-CN" w:eastAsia="zh-CN"/>
        </w:rPr>
        <w:t>结算审核后承包人及时向发包人开具全额增值税专用发票。</w:t>
      </w:r>
    </w:p>
    <w:p>
      <w:pPr>
        <w:ind w:firstLine="480"/>
        <w:jc w:val="both"/>
        <w:rPr>
          <w:color w:val="auto"/>
          <w:highlight w:val="none"/>
        </w:rPr>
      </w:pPr>
      <w:r>
        <w:rPr>
          <w:rFonts w:hint="eastAsia" w:ascii="宋体" w:hAnsi="宋体" w:eastAsia="宋体" w:cs="Times New Roman"/>
          <w:color w:val="auto"/>
          <w:highlight w:val="none"/>
          <w:lang w:val="zh-CN"/>
        </w:rPr>
        <w:t>（</w:t>
      </w:r>
      <w:r>
        <w:rPr>
          <w:rFonts w:hint="eastAsia" w:ascii="宋体" w:hAnsi="宋体" w:eastAsia="宋体" w:cs="Times New Roman"/>
          <w:color w:val="auto"/>
          <w:highlight w:val="none"/>
          <w:lang w:val="en-US" w:eastAsia="zh-CN"/>
        </w:rPr>
        <w:t>2）</w:t>
      </w:r>
      <w:r>
        <w:rPr>
          <w:rFonts w:hint="default" w:ascii="宋体" w:hAnsi="宋体" w:eastAsia="宋体" w:cs="Times New Roman"/>
          <w:color w:val="auto"/>
          <w:highlight w:val="none"/>
          <w:lang w:val="zh-CN"/>
        </w:rPr>
        <w:t>建安合同考核：本工程的节点工期，另行确定后，作为合同的考核工期。</w:t>
      </w:r>
      <w:r>
        <w:rPr>
          <w:rFonts w:hint="default" w:ascii="宋体" w:hAnsi="宋体" w:eastAsia="宋体" w:cs="Times New Roman"/>
          <w:color w:val="auto"/>
          <w:highlight w:val="none"/>
          <w:lang w:val="zh-CN" w:eastAsia="zh-CN"/>
        </w:rPr>
        <w:t>因承包人原因，节点工期每延误1天，承包人向发包人支付违约金</w:t>
      </w:r>
      <w:r>
        <w:rPr>
          <w:rFonts w:hint="default" w:ascii="宋体" w:hAnsi="宋体" w:eastAsia="宋体" w:cs="Times New Roman"/>
          <w:color w:val="auto"/>
          <w:highlight w:val="none"/>
          <w:lang w:val="zh-CN"/>
        </w:rPr>
        <w:t>壹</w:t>
      </w:r>
      <w:r>
        <w:rPr>
          <w:rFonts w:hint="default" w:ascii="宋体" w:hAnsi="宋体" w:eastAsia="宋体" w:cs="Times New Roman"/>
          <w:color w:val="auto"/>
          <w:highlight w:val="none"/>
          <w:lang w:val="zh-CN" w:eastAsia="zh-CN"/>
        </w:rPr>
        <w:t>仟圆整（￥：</w:t>
      </w:r>
      <w:r>
        <w:rPr>
          <w:rFonts w:hint="default" w:ascii="宋体" w:hAnsi="宋体" w:eastAsia="宋体" w:cs="Times New Roman"/>
          <w:color w:val="auto"/>
          <w:highlight w:val="none"/>
          <w:lang w:val="zh-CN"/>
        </w:rPr>
        <w:t>1</w:t>
      </w:r>
      <w:r>
        <w:rPr>
          <w:rFonts w:hint="default" w:ascii="宋体" w:hAnsi="宋体" w:eastAsia="宋体" w:cs="Times New Roman"/>
          <w:color w:val="auto"/>
          <w:highlight w:val="none"/>
          <w:lang w:val="zh-CN" w:eastAsia="zh-CN"/>
        </w:rPr>
        <w:t>000元整）。竣工工期每延误1天，承包人向发包人支付违约金</w:t>
      </w:r>
      <w:r>
        <w:rPr>
          <w:rFonts w:hint="default" w:ascii="宋体" w:hAnsi="宋体" w:eastAsia="宋体" w:cs="Times New Roman"/>
          <w:color w:val="auto"/>
          <w:highlight w:val="none"/>
          <w:lang w:val="zh-CN"/>
        </w:rPr>
        <w:t>贰</w:t>
      </w:r>
      <w:r>
        <w:rPr>
          <w:rFonts w:hint="default" w:ascii="宋体" w:hAnsi="宋体" w:eastAsia="宋体" w:cs="Times New Roman"/>
          <w:color w:val="auto"/>
          <w:highlight w:val="none"/>
          <w:lang w:val="zh-CN" w:eastAsia="zh-CN"/>
        </w:rPr>
        <w:t>仟圆整（￥：</w:t>
      </w:r>
      <w:r>
        <w:rPr>
          <w:rFonts w:hint="default" w:ascii="宋体" w:hAnsi="宋体" w:eastAsia="宋体" w:cs="Times New Roman"/>
          <w:color w:val="auto"/>
          <w:highlight w:val="none"/>
          <w:lang w:val="zh-CN"/>
        </w:rPr>
        <w:t>2</w:t>
      </w:r>
      <w:r>
        <w:rPr>
          <w:rFonts w:hint="default" w:ascii="宋体" w:hAnsi="宋体" w:eastAsia="宋体" w:cs="Times New Roman"/>
          <w:color w:val="auto"/>
          <w:highlight w:val="none"/>
          <w:lang w:val="zh-CN" w:eastAsia="zh-CN"/>
        </w:rPr>
        <w:t>000元整）。因承包人原因，工期延误7天以上或施工质量达不到要求，发包人有权终止合同，另行选择施工队伍。</w:t>
      </w:r>
    </w:p>
    <w:p>
      <w:pPr>
        <w:ind w:firstLine="480"/>
        <w:jc w:val="both"/>
        <w:rPr>
          <w:color w:val="auto"/>
          <w:highlight w:val="none"/>
        </w:rPr>
      </w:pPr>
      <w:r>
        <w:rPr>
          <w:rFonts w:hint="default" w:ascii="宋体" w:hAnsi="宋体" w:eastAsia="宋体" w:cs="Times New Roman"/>
          <w:color w:val="auto"/>
          <w:highlight w:val="none"/>
          <w:lang w:val="zh-CN"/>
        </w:rPr>
        <w:t>若中标方达不到合同中规定的合格标准，按不合格工程量造价的1.2倍向招标方支付违约金，同时中标方必须无条件返工直至合格。</w:t>
      </w:r>
    </w:p>
    <w:p>
      <w:pPr>
        <w:ind w:firstLine="480"/>
        <w:jc w:val="both"/>
        <w:rPr>
          <w:color w:val="auto"/>
          <w:highlight w:val="none"/>
        </w:rPr>
      </w:pPr>
      <w:r>
        <w:rPr>
          <w:rFonts w:hint="eastAsia" w:ascii="宋体" w:hAnsi="宋体" w:eastAsia="宋体" w:cs="Times New Roman"/>
          <w:color w:val="auto"/>
          <w:highlight w:val="none"/>
          <w:lang w:val="zh-CN"/>
        </w:rPr>
        <w:t>（</w:t>
      </w:r>
      <w:r>
        <w:rPr>
          <w:rFonts w:hint="default" w:ascii="宋体" w:hAnsi="宋体" w:eastAsia="宋体" w:cs="Times New Roman"/>
          <w:color w:val="auto"/>
          <w:highlight w:val="none"/>
          <w:lang w:val="zh-CN"/>
        </w:rPr>
        <w:t>3</w:t>
      </w:r>
      <w:r>
        <w:rPr>
          <w:rFonts w:hint="eastAsia" w:ascii="宋体" w:hAnsi="宋体" w:eastAsia="宋体" w:cs="Times New Roman"/>
          <w:color w:val="auto"/>
          <w:highlight w:val="none"/>
          <w:lang w:val="zh-CN"/>
        </w:rPr>
        <w:t>）</w:t>
      </w:r>
      <w:r>
        <w:rPr>
          <w:rFonts w:hint="default" w:ascii="宋体" w:hAnsi="宋体" w:eastAsia="宋体" w:cs="Times New Roman"/>
          <w:color w:val="auto"/>
          <w:highlight w:val="none"/>
          <w:lang w:val="zh-CN"/>
        </w:rPr>
        <w:t>本项目建安工程合同最终结算发票是9%增值税专用发票。</w:t>
      </w:r>
    </w:p>
    <w:p>
      <w:pPr>
        <w:ind w:firstLine="480"/>
        <w:jc w:val="both"/>
        <w:rPr>
          <w:color w:val="auto"/>
          <w:highlight w:val="none"/>
        </w:rPr>
      </w:pPr>
      <w:r>
        <w:rPr>
          <w:rFonts w:hint="eastAsia" w:ascii="宋体" w:hAnsi="宋体" w:eastAsia="宋体" w:cs="Times New Roman"/>
          <w:color w:val="auto"/>
          <w:highlight w:val="none"/>
          <w:lang w:val="zh-CN"/>
        </w:rPr>
        <w:t>（</w:t>
      </w:r>
      <w:r>
        <w:rPr>
          <w:rFonts w:hint="default" w:ascii="宋体" w:hAnsi="宋体" w:eastAsia="宋体" w:cs="Times New Roman"/>
          <w:color w:val="auto"/>
          <w:highlight w:val="none"/>
          <w:lang w:val="zh-CN"/>
        </w:rPr>
        <w:t>4</w:t>
      </w:r>
      <w:r>
        <w:rPr>
          <w:rFonts w:hint="eastAsia" w:ascii="宋体" w:hAnsi="宋体" w:eastAsia="宋体" w:cs="Times New Roman"/>
          <w:color w:val="auto"/>
          <w:highlight w:val="none"/>
          <w:lang w:val="zh-CN"/>
        </w:rPr>
        <w:t>）</w:t>
      </w:r>
      <w:r>
        <w:rPr>
          <w:rFonts w:hint="default" w:ascii="宋体" w:hAnsi="宋体" w:eastAsia="宋体" w:cs="Times New Roman"/>
          <w:color w:val="auto"/>
          <w:highlight w:val="none"/>
          <w:lang w:val="zh-CN"/>
        </w:rPr>
        <w:t>施工期间中标人的项目经理在现场时间无特殊情况原则上不少于5个工作日/星期，工作期间离开现场须经发包人代表书面同意。如发现缺岗1天，中标方支付违约金500元。</w:t>
      </w:r>
    </w:p>
    <w:p>
      <w:pPr>
        <w:ind w:firstLine="480"/>
        <w:jc w:val="both"/>
        <w:rPr>
          <w:color w:val="auto"/>
          <w:highlight w:val="none"/>
        </w:rPr>
      </w:pPr>
      <w:r>
        <w:rPr>
          <w:rFonts w:hint="eastAsia" w:ascii="宋体" w:hAnsi="宋体" w:eastAsia="宋体" w:cs="Times New Roman"/>
          <w:color w:val="auto"/>
          <w:highlight w:val="none"/>
          <w:lang w:val="zh-CN"/>
        </w:rPr>
        <w:t>（</w:t>
      </w:r>
      <w:r>
        <w:rPr>
          <w:rFonts w:hint="eastAsia" w:ascii="宋体" w:hAnsi="宋体" w:eastAsia="宋体" w:cs="Times New Roman"/>
          <w:color w:val="auto"/>
          <w:highlight w:val="none"/>
          <w:lang w:val="en-US" w:eastAsia="zh-CN"/>
        </w:rPr>
        <w:t>5）</w:t>
      </w:r>
      <w:r>
        <w:rPr>
          <w:rFonts w:hint="default" w:ascii="宋体" w:hAnsi="宋体" w:eastAsia="宋体" w:cs="Times New Roman"/>
          <w:color w:val="auto"/>
          <w:highlight w:val="none"/>
          <w:lang w:val="zh-CN"/>
        </w:rPr>
        <w:t>招标方在指定位置提供施工电源及水源，之外部分中标人自行承担，现场施工水电费结算时按建安合同总价的７‰扣除。</w:t>
      </w:r>
    </w:p>
    <w:p>
      <w:pPr>
        <w:ind w:firstLine="480"/>
        <w:jc w:val="both"/>
        <w:rPr>
          <w:color w:val="auto"/>
          <w:highlight w:val="none"/>
        </w:rPr>
      </w:pPr>
      <w:r>
        <w:rPr>
          <w:rFonts w:hint="eastAsia" w:ascii="宋体" w:hAnsi="宋体" w:eastAsia="宋体" w:cs="Times New Roman"/>
          <w:color w:val="auto"/>
          <w:highlight w:val="none"/>
          <w:lang w:val="en-US" w:eastAsia="zh-CN"/>
        </w:rPr>
        <w:t>(</w:t>
      </w:r>
      <w:r>
        <w:rPr>
          <w:rFonts w:hint="default" w:ascii="宋体" w:hAnsi="宋体" w:eastAsia="宋体" w:cs="Times New Roman"/>
          <w:color w:val="auto"/>
          <w:highlight w:val="none"/>
          <w:lang w:val="zh-CN"/>
        </w:rPr>
        <w:t>6</w:t>
      </w:r>
      <w:r>
        <w:rPr>
          <w:rFonts w:hint="eastAsia" w:ascii="宋体" w:hAnsi="宋体" w:eastAsia="宋体" w:cs="Times New Roman"/>
          <w:color w:val="auto"/>
          <w:highlight w:val="none"/>
          <w:lang w:val="zh-CN"/>
        </w:rPr>
        <w:t>）</w:t>
      </w:r>
      <w:r>
        <w:rPr>
          <w:rFonts w:hint="default" w:ascii="宋体" w:hAnsi="宋体" w:eastAsia="宋体" w:cs="Times New Roman"/>
          <w:color w:val="auto"/>
          <w:highlight w:val="none"/>
          <w:lang w:val="zh-CN" w:eastAsia="zh-CN"/>
        </w:rPr>
        <w:t>中标</w:t>
      </w:r>
      <w:r>
        <w:rPr>
          <w:rFonts w:hint="default" w:ascii="宋体" w:hAnsi="宋体" w:eastAsia="宋体" w:cs="Times New Roman"/>
          <w:color w:val="auto"/>
          <w:highlight w:val="none"/>
          <w:lang w:val="zh-CN"/>
        </w:rPr>
        <w:t>人需缴纳</w:t>
      </w:r>
      <w:r>
        <w:rPr>
          <w:rFonts w:hint="default" w:ascii="宋体" w:hAnsi="宋体" w:eastAsia="宋体" w:cs="Times New Roman"/>
          <w:color w:val="auto"/>
          <w:highlight w:val="none"/>
          <w:lang w:val="zh-CN" w:eastAsia="zh-CN"/>
        </w:rPr>
        <w:t>安全保障金及施工履约保证金60万元整（长期合作单位，需出具承包人已经办理过的证明材料），通过基本账户现汇办理，待承包人承建的所有工程竣工后由承包人提出申请，工程部核实后保证金无息退还给承包人</w:t>
      </w:r>
      <w:r>
        <w:rPr>
          <w:rFonts w:hint="default" w:ascii="宋体" w:hAnsi="宋体" w:eastAsia="宋体" w:cs="Times New Roman"/>
          <w:color w:val="auto"/>
          <w:highlight w:val="none"/>
          <w:lang w:val="zh-CN"/>
        </w:rPr>
        <w:t>。</w:t>
      </w:r>
    </w:p>
    <w:p>
      <w:pPr>
        <w:ind w:firstLine="480"/>
        <w:jc w:val="both"/>
        <w:rPr>
          <w:rFonts w:hint="default"/>
          <w:lang w:val="en-US" w:eastAsia="zh-CN"/>
        </w:rPr>
      </w:pPr>
      <w:r>
        <w:rPr>
          <w:rFonts w:hint="eastAsia" w:ascii="宋体" w:hAnsi="宋体" w:eastAsia="宋体" w:cs="Times New Roman"/>
          <w:color w:val="auto"/>
          <w:highlight w:val="none"/>
          <w:lang w:val="zh-CN"/>
        </w:rPr>
        <w:t>（</w:t>
      </w:r>
      <w:r>
        <w:rPr>
          <w:rFonts w:hint="default" w:ascii="宋体" w:hAnsi="宋体" w:eastAsia="宋体" w:cs="Times New Roman"/>
          <w:color w:val="auto"/>
          <w:highlight w:val="none"/>
          <w:lang w:val="zh-CN"/>
        </w:rPr>
        <w:t>7</w:t>
      </w:r>
      <w:r>
        <w:rPr>
          <w:rFonts w:hint="eastAsia" w:ascii="宋体" w:hAnsi="宋体" w:eastAsia="宋体" w:cs="Times New Roman"/>
          <w:color w:val="auto"/>
          <w:highlight w:val="none"/>
          <w:lang w:val="zh-CN"/>
        </w:rPr>
        <w:t>）</w:t>
      </w:r>
      <w:r>
        <w:rPr>
          <w:rFonts w:hint="default" w:ascii="宋体" w:hAnsi="宋体" w:eastAsia="宋体" w:cs="Times New Roman"/>
          <w:color w:val="auto"/>
          <w:highlight w:val="none"/>
          <w:lang w:val="zh-CN"/>
        </w:rPr>
        <w:t>招标方、中标方须密切配合、相互协商，以使现场施工达到招标人安全管理和现场文明施工要求，接受招标方6S管理，达不到要求的按招标方有关管理办法考核；中标方无条件配合招标方有关安全、消防验收和现场整治、来人参观的临时性安排（须提前通知），如满足不了招标方有关要求，招标方有权临时组织人员处理，其费用按400元/工日计算，从中标方工程款中扣除。</w:t>
      </w:r>
    </w:p>
    <w:sectPr>
      <w:footerReference r:id="rId3" w:type="default"/>
      <w:pgSz w:w="11906" w:h="16838"/>
      <w:pgMar w:top="1440" w:right="1800" w:bottom="1440" w:left="1800" w:header="708" w:footer="708" w:gutter="0"/>
      <w:pgNumType w:fmt="decimal"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微软雅黑"/>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val="en-US" w:eastAsia="zh-CN"/>
      </w:rPr>
      <w:t>11</w:t>
    </w:r>
    <w:r>
      <w:rPr>
        <w:rFonts w:hint="eastAsia"/>
        <w:lang w:eastAsia="zh-CN"/>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84C16A"/>
    <w:multiLevelType w:val="multilevel"/>
    <w:tmpl w:val="6084C16A"/>
    <w:lvl w:ilvl="0" w:tentative="0">
      <w:start w:val="1"/>
      <w:numFmt w:val="chineseCounting"/>
      <w:suff w:val="nothing"/>
      <w:lvlText w:val="%1、"/>
      <w:lvlJc w:val="left"/>
      <w:pPr>
        <w:tabs>
          <w:tab w:val="left" w:pos="0"/>
        </w:tabs>
        <w:ind w:left="0" w:firstLine="0"/>
      </w:pPr>
      <w:rPr>
        <w:rFonts w:hint="eastAsia"/>
      </w:rPr>
    </w:lvl>
    <w:lvl w:ilvl="1" w:tentative="0">
      <w:start w:val="1"/>
      <w:numFmt w:val="decimal"/>
      <w:suff w:val="nothing"/>
      <w:lvlText w:val="%2．"/>
      <w:lvlJc w:val="left"/>
      <w:pPr>
        <w:ind w:left="0" w:firstLine="400"/>
      </w:pPr>
      <w:rPr>
        <w:rFonts w:hint="eastAsia" w:ascii="宋体" w:hAnsi="宋体" w:eastAsia="宋体" w:cs="宋体"/>
      </w:rPr>
    </w:lvl>
    <w:lvl w:ilvl="2" w:tentative="0">
      <w:start w:val="1"/>
      <w:numFmt w:val="decimal"/>
      <w:suff w:val="nothing"/>
      <w:lvlText w:val="（%3）"/>
      <w:lvlJc w:val="left"/>
      <w:pPr>
        <w:ind w:left="0" w:firstLine="402"/>
      </w:pPr>
      <w:rPr>
        <w:rFonts w:hint="eastAsia" w:ascii="宋体" w:hAnsi="宋体" w:eastAsia="宋体" w:cs="宋体"/>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6084C1BA"/>
    <w:multiLevelType w:val="multilevel"/>
    <w:tmpl w:val="6084C1BA"/>
    <w:lvl w:ilvl="0" w:tentative="0">
      <w:start w:val="1"/>
      <w:numFmt w:val="chineseCounting"/>
      <w:suff w:val="nothing"/>
      <w:lvlText w:val="%1、"/>
      <w:lvlJc w:val="left"/>
      <w:pPr>
        <w:tabs>
          <w:tab w:val="left" w:pos="0"/>
        </w:tabs>
        <w:ind w:left="0" w:firstLine="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
    <w:nsid w:val="6084C5C3"/>
    <w:multiLevelType w:val="multilevel"/>
    <w:tmpl w:val="6084C5C3"/>
    <w:lvl w:ilvl="0" w:tentative="0">
      <w:start w:val="1"/>
      <w:numFmt w:val="chineseCounting"/>
      <w:suff w:val="nothing"/>
      <w:lvlText w:val="%1、"/>
      <w:lvlJc w:val="left"/>
      <w:pPr>
        <w:tabs>
          <w:tab w:val="left" w:pos="0"/>
        </w:tabs>
        <w:ind w:left="0" w:firstLine="0"/>
      </w:pPr>
      <w:rPr>
        <w:rFonts w:hint="eastAsia"/>
      </w:rPr>
    </w:lvl>
    <w:lvl w:ilvl="1" w:tentative="0">
      <w:start w:val="1"/>
      <w:numFmt w:val="decimal"/>
      <w:suff w:val="nothing"/>
      <w:lvlText w:val="%2．"/>
      <w:lvlJc w:val="left"/>
      <w:pPr>
        <w:ind w:left="0" w:firstLine="400"/>
      </w:pPr>
      <w:rPr>
        <w:rFonts w:hint="eastAsia" w:ascii="宋体" w:hAnsi="宋体" w:eastAsia="宋体" w:cs="宋体"/>
      </w:rPr>
    </w:lvl>
    <w:lvl w:ilvl="2" w:tentative="0">
      <w:start w:val="1"/>
      <w:numFmt w:val="decimal"/>
      <w:suff w:val="nothing"/>
      <w:lvlText w:val="（%3）"/>
      <w:lvlJc w:val="left"/>
      <w:pPr>
        <w:ind w:left="0" w:firstLine="402"/>
      </w:pPr>
      <w:rPr>
        <w:rFonts w:hint="eastAsia" w:ascii="宋体" w:hAnsi="宋体" w:eastAsia="宋体" w:cs="宋体"/>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3">
    <w:nsid w:val="6084C60D"/>
    <w:multiLevelType w:val="multilevel"/>
    <w:tmpl w:val="6084C60D"/>
    <w:lvl w:ilvl="0" w:tentative="0">
      <w:start w:val="1"/>
      <w:numFmt w:val="chineseCounting"/>
      <w:suff w:val="nothing"/>
      <w:lvlText w:val="%1、"/>
      <w:lvlJc w:val="left"/>
      <w:pPr>
        <w:tabs>
          <w:tab w:val="left" w:pos="0"/>
        </w:tabs>
        <w:ind w:left="0" w:firstLine="0"/>
      </w:pPr>
      <w:rPr>
        <w:rFonts w:hint="eastAsia"/>
      </w:rPr>
    </w:lvl>
    <w:lvl w:ilvl="1" w:tentative="0">
      <w:start w:val="1"/>
      <w:numFmt w:val="decimal"/>
      <w:suff w:val="nothing"/>
      <w:lvlText w:val="%2．"/>
      <w:lvlJc w:val="left"/>
      <w:pPr>
        <w:ind w:left="0" w:firstLine="400"/>
      </w:pPr>
      <w:rPr>
        <w:rFonts w:hint="eastAsia" w:ascii="宋体" w:hAnsi="宋体" w:eastAsia="宋体" w:cs="宋体"/>
      </w:rPr>
    </w:lvl>
    <w:lvl w:ilvl="2" w:tentative="0">
      <w:start w:val="1"/>
      <w:numFmt w:val="decimal"/>
      <w:suff w:val="nothing"/>
      <w:lvlText w:val="（%3）"/>
      <w:lvlJc w:val="left"/>
      <w:pPr>
        <w:ind w:left="0" w:firstLine="402"/>
      </w:pPr>
      <w:rPr>
        <w:rFonts w:hint="eastAsia" w:ascii="宋体" w:hAnsi="宋体" w:eastAsia="宋体" w:cs="宋体"/>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4">
    <w:nsid w:val="6084E403"/>
    <w:multiLevelType w:val="multilevel"/>
    <w:tmpl w:val="6084E403"/>
    <w:lvl w:ilvl="0" w:tentative="0">
      <w:start w:val="1"/>
      <w:numFmt w:val="chineseCounting"/>
      <w:suff w:val="nothing"/>
      <w:lvlText w:val="%1、"/>
      <w:lvlJc w:val="left"/>
      <w:pPr>
        <w:tabs>
          <w:tab w:val="left" w:pos="0"/>
        </w:tabs>
        <w:ind w:left="0" w:firstLine="0"/>
      </w:pPr>
      <w:rPr>
        <w:rFonts w:hint="eastAsia"/>
      </w:rPr>
    </w:lvl>
    <w:lvl w:ilvl="1" w:tentative="0">
      <w:start w:val="1"/>
      <w:numFmt w:val="decimal"/>
      <w:suff w:val="nothing"/>
      <w:lvlText w:val="%2．"/>
      <w:lvlJc w:val="left"/>
      <w:pPr>
        <w:ind w:left="0" w:firstLine="400"/>
      </w:pPr>
      <w:rPr>
        <w:rFonts w:hint="eastAsia" w:ascii="宋体" w:hAnsi="宋体" w:eastAsia="宋体" w:cs="宋体"/>
      </w:rPr>
    </w:lvl>
    <w:lvl w:ilvl="2" w:tentative="0">
      <w:start w:val="1"/>
      <w:numFmt w:val="decimal"/>
      <w:suff w:val="nothing"/>
      <w:lvlText w:val="（%3）"/>
      <w:lvlJc w:val="left"/>
      <w:pPr>
        <w:ind w:left="0" w:firstLine="402"/>
      </w:pPr>
      <w:rPr>
        <w:rFonts w:hint="eastAsia" w:ascii="宋体" w:hAnsi="宋体" w:eastAsia="宋体" w:cs="宋体"/>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5">
    <w:nsid w:val="6084E47C"/>
    <w:multiLevelType w:val="multilevel"/>
    <w:tmpl w:val="6084E47C"/>
    <w:lvl w:ilvl="0" w:tentative="0">
      <w:start w:val="1"/>
      <w:numFmt w:val="chineseCounting"/>
      <w:suff w:val="nothing"/>
      <w:lvlText w:val="%1、"/>
      <w:lvlJc w:val="left"/>
      <w:pPr>
        <w:tabs>
          <w:tab w:val="left" w:pos="0"/>
        </w:tabs>
        <w:ind w:left="0" w:firstLine="0"/>
      </w:pPr>
      <w:rPr>
        <w:rFonts w:hint="eastAsia"/>
      </w:rPr>
    </w:lvl>
    <w:lvl w:ilvl="1" w:tentative="0">
      <w:start w:val="1"/>
      <w:numFmt w:val="decimal"/>
      <w:suff w:val="nothing"/>
      <w:lvlText w:val="%2．"/>
      <w:lvlJc w:val="left"/>
      <w:pPr>
        <w:ind w:left="0" w:firstLine="400"/>
      </w:pPr>
      <w:rPr>
        <w:rFonts w:hint="eastAsia" w:ascii="宋体" w:hAnsi="宋体" w:eastAsia="宋体" w:cs="宋体"/>
      </w:rPr>
    </w:lvl>
    <w:lvl w:ilvl="2" w:tentative="0">
      <w:start w:val="1"/>
      <w:numFmt w:val="decimal"/>
      <w:suff w:val="nothing"/>
      <w:lvlText w:val="（%3）"/>
      <w:lvlJc w:val="left"/>
      <w:pPr>
        <w:ind w:left="0" w:firstLine="402"/>
      </w:pPr>
      <w:rPr>
        <w:rFonts w:hint="eastAsia" w:ascii="宋体" w:hAnsi="宋体" w:eastAsia="宋体" w:cs="宋体"/>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6">
    <w:nsid w:val="6084E48F"/>
    <w:multiLevelType w:val="multilevel"/>
    <w:tmpl w:val="6084E48F"/>
    <w:lvl w:ilvl="0" w:tentative="0">
      <w:start w:val="1"/>
      <w:numFmt w:val="chineseCounting"/>
      <w:suff w:val="nothing"/>
      <w:lvlText w:val="%1、"/>
      <w:lvlJc w:val="left"/>
      <w:pPr>
        <w:tabs>
          <w:tab w:val="left" w:pos="0"/>
        </w:tabs>
        <w:ind w:left="0" w:firstLine="0"/>
      </w:pPr>
      <w:rPr>
        <w:rFonts w:hint="eastAsia"/>
      </w:rPr>
    </w:lvl>
    <w:lvl w:ilvl="1" w:tentative="0">
      <w:start w:val="1"/>
      <w:numFmt w:val="decimal"/>
      <w:suff w:val="nothing"/>
      <w:lvlText w:val="%2．"/>
      <w:lvlJc w:val="left"/>
      <w:pPr>
        <w:ind w:left="0" w:firstLine="400"/>
      </w:pPr>
      <w:rPr>
        <w:rFonts w:hint="eastAsia" w:ascii="宋体" w:hAnsi="宋体" w:eastAsia="宋体" w:cs="宋体"/>
      </w:rPr>
    </w:lvl>
    <w:lvl w:ilvl="2" w:tentative="0">
      <w:start w:val="1"/>
      <w:numFmt w:val="decimal"/>
      <w:suff w:val="nothing"/>
      <w:lvlText w:val="（%3）"/>
      <w:lvlJc w:val="left"/>
      <w:pPr>
        <w:ind w:left="0" w:firstLine="402"/>
      </w:pPr>
      <w:rPr>
        <w:rFonts w:hint="eastAsia" w:ascii="宋体" w:hAnsi="宋体" w:eastAsia="宋体" w:cs="宋体"/>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7">
    <w:nsid w:val="60989C34"/>
    <w:multiLevelType w:val="singleLevel"/>
    <w:tmpl w:val="60989C34"/>
    <w:lvl w:ilvl="0" w:tentative="0">
      <w:start w:val="1"/>
      <w:numFmt w:val="decimal"/>
      <w:lvlText w:val="%1)"/>
      <w:lvlJc w:val="left"/>
      <w:pPr>
        <w:ind w:left="425" w:leftChars="0" w:hanging="425" w:firstLineChars="0"/>
      </w:pPr>
      <w:rPr>
        <w:rFonts w:hint="default"/>
      </w:rPr>
    </w:lvl>
  </w:abstractNum>
  <w:abstractNum w:abstractNumId="8">
    <w:nsid w:val="60989F24"/>
    <w:multiLevelType w:val="multilevel"/>
    <w:tmpl w:val="60989F24"/>
    <w:lvl w:ilvl="0" w:tentative="0">
      <w:start w:val="1"/>
      <w:numFmt w:val="chineseCounting"/>
      <w:suff w:val="nothing"/>
      <w:lvlText w:val="%1、"/>
      <w:lvlJc w:val="left"/>
      <w:pPr>
        <w:tabs>
          <w:tab w:val="left" w:pos="0"/>
        </w:tabs>
        <w:ind w:left="0" w:firstLine="0"/>
      </w:pPr>
      <w:rPr>
        <w:rFonts w:hint="eastAsia"/>
      </w:rPr>
    </w:lvl>
    <w:lvl w:ilvl="1" w:tentative="0">
      <w:start w:val="1"/>
      <w:numFmt w:val="decimal"/>
      <w:suff w:val="nothing"/>
      <w:lvlText w:val="%2．"/>
      <w:lvlJc w:val="left"/>
      <w:pPr>
        <w:ind w:left="0" w:firstLine="400"/>
      </w:pPr>
      <w:rPr>
        <w:rFonts w:hint="eastAsia" w:ascii="宋体" w:hAnsi="宋体" w:eastAsia="宋体" w:cs="宋体"/>
      </w:rPr>
    </w:lvl>
    <w:lvl w:ilvl="2" w:tentative="0">
      <w:start w:val="1"/>
      <w:numFmt w:val="decimal"/>
      <w:suff w:val="nothing"/>
      <w:lvlText w:val="（%3）"/>
      <w:lvlJc w:val="left"/>
      <w:pPr>
        <w:ind w:left="0" w:firstLine="402"/>
      </w:pPr>
      <w:rPr>
        <w:rFonts w:hint="eastAsia" w:ascii="宋体" w:hAnsi="宋体" w:eastAsia="宋体" w:cs="宋体"/>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9">
    <w:nsid w:val="6098C990"/>
    <w:multiLevelType w:val="multilevel"/>
    <w:tmpl w:val="6098C990"/>
    <w:lvl w:ilvl="0" w:tentative="0">
      <w:start w:val="1"/>
      <w:numFmt w:val="chineseCounting"/>
      <w:suff w:val="nothing"/>
      <w:lvlText w:val="%1、"/>
      <w:lvlJc w:val="left"/>
      <w:pPr>
        <w:tabs>
          <w:tab w:val="left" w:pos="0"/>
        </w:tabs>
        <w:ind w:left="0" w:firstLine="0"/>
      </w:pPr>
      <w:rPr>
        <w:rFonts w:hint="eastAsia"/>
      </w:rPr>
    </w:lvl>
    <w:lvl w:ilvl="1" w:tentative="0">
      <w:start w:val="1"/>
      <w:numFmt w:val="decimal"/>
      <w:suff w:val="nothing"/>
      <w:lvlText w:val="%2．"/>
      <w:lvlJc w:val="left"/>
      <w:pPr>
        <w:ind w:left="0" w:firstLine="400"/>
      </w:pPr>
      <w:rPr>
        <w:rFonts w:hint="eastAsia" w:ascii="宋体" w:hAnsi="宋体" w:eastAsia="宋体" w:cs="宋体"/>
      </w:rPr>
    </w:lvl>
    <w:lvl w:ilvl="2" w:tentative="0">
      <w:start w:val="1"/>
      <w:numFmt w:val="decimal"/>
      <w:suff w:val="nothing"/>
      <w:lvlText w:val="（%3）"/>
      <w:lvlJc w:val="left"/>
      <w:pPr>
        <w:ind w:left="0" w:firstLine="402"/>
      </w:pPr>
      <w:rPr>
        <w:rFonts w:hint="eastAsia" w:ascii="宋体" w:hAnsi="宋体" w:eastAsia="宋体" w:cs="宋体"/>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0">
    <w:nsid w:val="6098C9B8"/>
    <w:multiLevelType w:val="multilevel"/>
    <w:tmpl w:val="6098C9B8"/>
    <w:lvl w:ilvl="0" w:tentative="0">
      <w:start w:val="1"/>
      <w:numFmt w:val="chineseCounting"/>
      <w:suff w:val="nothing"/>
      <w:lvlText w:val="%1、"/>
      <w:lvlJc w:val="left"/>
      <w:pPr>
        <w:tabs>
          <w:tab w:val="left" w:pos="0"/>
        </w:tabs>
        <w:ind w:left="0" w:firstLine="0"/>
      </w:pPr>
      <w:rPr>
        <w:rFonts w:hint="eastAsia"/>
      </w:rPr>
    </w:lvl>
    <w:lvl w:ilvl="1" w:tentative="0">
      <w:start w:val="1"/>
      <w:numFmt w:val="decimal"/>
      <w:suff w:val="nothing"/>
      <w:lvlText w:val="%2．"/>
      <w:lvlJc w:val="left"/>
      <w:pPr>
        <w:ind w:left="0" w:firstLine="400"/>
      </w:pPr>
      <w:rPr>
        <w:rFonts w:hint="eastAsia" w:ascii="宋体" w:hAnsi="宋体" w:eastAsia="宋体" w:cs="宋体"/>
      </w:rPr>
    </w:lvl>
    <w:lvl w:ilvl="2" w:tentative="0">
      <w:start w:val="1"/>
      <w:numFmt w:val="decimal"/>
      <w:suff w:val="nothing"/>
      <w:lvlText w:val="（%3）"/>
      <w:lvlJc w:val="left"/>
      <w:pPr>
        <w:ind w:left="0" w:firstLine="402"/>
      </w:pPr>
      <w:rPr>
        <w:rFonts w:hint="eastAsia" w:ascii="宋体" w:hAnsi="宋体" w:eastAsia="宋体" w:cs="宋体"/>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1">
    <w:nsid w:val="6098CA17"/>
    <w:multiLevelType w:val="singleLevel"/>
    <w:tmpl w:val="6098CA17"/>
    <w:lvl w:ilvl="0" w:tentative="0">
      <w:start w:val="1"/>
      <w:numFmt w:val="decimalEnclosedCircleChinese"/>
      <w:suff w:val="nothing"/>
      <w:lvlText w:val="%1　"/>
      <w:lvlJc w:val="left"/>
      <w:pPr>
        <w:ind w:left="0" w:leftChars="0" w:firstLine="400" w:firstLineChars="0"/>
      </w:pPr>
      <w:rPr>
        <w:rFonts w:hint="eastAsia"/>
      </w:rPr>
    </w:lvl>
  </w:abstractNum>
  <w:abstractNum w:abstractNumId="12">
    <w:nsid w:val="6098CB8B"/>
    <w:multiLevelType w:val="multilevel"/>
    <w:tmpl w:val="6098CB8B"/>
    <w:lvl w:ilvl="0" w:tentative="0">
      <w:start w:val="1"/>
      <w:numFmt w:val="chineseCounting"/>
      <w:suff w:val="nothing"/>
      <w:lvlText w:val="%1、"/>
      <w:lvlJc w:val="left"/>
      <w:pPr>
        <w:tabs>
          <w:tab w:val="left" w:pos="0"/>
        </w:tabs>
        <w:ind w:left="0" w:firstLine="0"/>
      </w:pPr>
      <w:rPr>
        <w:rFonts w:hint="eastAsia"/>
      </w:rPr>
    </w:lvl>
    <w:lvl w:ilvl="1" w:tentative="0">
      <w:start w:val="1"/>
      <w:numFmt w:val="decimal"/>
      <w:suff w:val="nothing"/>
      <w:lvlText w:val="%2．"/>
      <w:lvlJc w:val="left"/>
      <w:pPr>
        <w:ind w:left="0" w:firstLine="400"/>
      </w:pPr>
      <w:rPr>
        <w:rFonts w:hint="eastAsia" w:ascii="宋体" w:hAnsi="宋体" w:eastAsia="宋体" w:cs="宋体"/>
      </w:rPr>
    </w:lvl>
    <w:lvl w:ilvl="2" w:tentative="0">
      <w:start w:val="1"/>
      <w:numFmt w:val="decimal"/>
      <w:suff w:val="nothing"/>
      <w:lvlText w:val="（%3）"/>
      <w:lvlJc w:val="left"/>
      <w:pPr>
        <w:ind w:left="0" w:firstLine="402"/>
      </w:pPr>
      <w:rPr>
        <w:rFonts w:hint="eastAsia" w:ascii="宋体" w:hAnsi="宋体" w:eastAsia="宋体" w:cs="宋体"/>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3">
    <w:nsid w:val="6099F892"/>
    <w:multiLevelType w:val="multilevel"/>
    <w:tmpl w:val="6099F892"/>
    <w:lvl w:ilvl="0" w:tentative="0">
      <w:start w:val="1"/>
      <w:numFmt w:val="chineseCounting"/>
      <w:suff w:val="nothing"/>
      <w:lvlText w:val="%1、"/>
      <w:lvlJc w:val="left"/>
      <w:pPr>
        <w:tabs>
          <w:tab w:val="left" w:pos="0"/>
        </w:tabs>
        <w:ind w:left="0" w:firstLine="0"/>
      </w:pPr>
      <w:rPr>
        <w:rFonts w:hint="eastAsia"/>
      </w:rPr>
    </w:lvl>
    <w:lvl w:ilvl="1" w:tentative="0">
      <w:start w:val="1"/>
      <w:numFmt w:val="decimal"/>
      <w:suff w:val="nothing"/>
      <w:lvlText w:val="%2．"/>
      <w:lvlJc w:val="left"/>
      <w:pPr>
        <w:ind w:left="0" w:firstLine="400"/>
      </w:pPr>
      <w:rPr>
        <w:rFonts w:hint="eastAsia" w:ascii="宋体" w:hAnsi="宋体" w:eastAsia="宋体" w:cs="宋体"/>
      </w:rPr>
    </w:lvl>
    <w:lvl w:ilvl="2" w:tentative="0">
      <w:start w:val="1"/>
      <w:numFmt w:val="decimal"/>
      <w:suff w:val="nothing"/>
      <w:lvlText w:val="（%3）"/>
      <w:lvlJc w:val="left"/>
      <w:pPr>
        <w:ind w:left="0" w:firstLine="402"/>
      </w:pPr>
      <w:rPr>
        <w:rFonts w:hint="eastAsia" w:ascii="宋体" w:hAnsi="宋体" w:eastAsia="宋体" w:cs="宋体"/>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4">
    <w:nsid w:val="6099F8A5"/>
    <w:multiLevelType w:val="multilevel"/>
    <w:tmpl w:val="6099F8A5"/>
    <w:lvl w:ilvl="0" w:tentative="0">
      <w:start w:val="1"/>
      <w:numFmt w:val="chineseCounting"/>
      <w:suff w:val="nothing"/>
      <w:lvlText w:val="%1、"/>
      <w:lvlJc w:val="left"/>
      <w:pPr>
        <w:tabs>
          <w:tab w:val="left" w:pos="0"/>
        </w:tabs>
        <w:ind w:left="0" w:firstLine="0"/>
      </w:pPr>
      <w:rPr>
        <w:rFonts w:hint="eastAsia"/>
      </w:rPr>
    </w:lvl>
    <w:lvl w:ilvl="1" w:tentative="0">
      <w:start w:val="1"/>
      <w:numFmt w:val="decimal"/>
      <w:suff w:val="nothing"/>
      <w:lvlText w:val="%2．"/>
      <w:lvlJc w:val="left"/>
      <w:pPr>
        <w:ind w:left="0" w:firstLine="400"/>
      </w:pPr>
      <w:rPr>
        <w:rFonts w:hint="eastAsia" w:ascii="宋体" w:hAnsi="宋体" w:eastAsia="宋体" w:cs="宋体"/>
      </w:rPr>
    </w:lvl>
    <w:lvl w:ilvl="2" w:tentative="0">
      <w:start w:val="1"/>
      <w:numFmt w:val="decimal"/>
      <w:suff w:val="nothing"/>
      <w:lvlText w:val="（%3）"/>
      <w:lvlJc w:val="left"/>
      <w:pPr>
        <w:ind w:left="0" w:firstLine="402"/>
      </w:pPr>
      <w:rPr>
        <w:rFonts w:hint="eastAsia" w:ascii="宋体" w:hAnsi="宋体" w:eastAsia="宋体" w:cs="宋体"/>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5">
    <w:nsid w:val="6099F8C3"/>
    <w:multiLevelType w:val="multilevel"/>
    <w:tmpl w:val="6099F8C3"/>
    <w:lvl w:ilvl="0" w:tentative="0">
      <w:start w:val="1"/>
      <w:numFmt w:val="chineseCounting"/>
      <w:suff w:val="nothing"/>
      <w:lvlText w:val="%1、"/>
      <w:lvlJc w:val="left"/>
      <w:pPr>
        <w:tabs>
          <w:tab w:val="left" w:pos="0"/>
        </w:tabs>
        <w:ind w:left="0" w:firstLine="0"/>
      </w:pPr>
      <w:rPr>
        <w:rFonts w:hint="eastAsia"/>
      </w:rPr>
    </w:lvl>
    <w:lvl w:ilvl="1" w:tentative="0">
      <w:start w:val="1"/>
      <w:numFmt w:val="decimal"/>
      <w:suff w:val="nothing"/>
      <w:lvlText w:val="%2．"/>
      <w:lvlJc w:val="left"/>
      <w:pPr>
        <w:ind w:left="0" w:firstLine="400"/>
      </w:pPr>
      <w:rPr>
        <w:rFonts w:hint="eastAsia" w:ascii="宋体" w:hAnsi="宋体" w:eastAsia="宋体" w:cs="宋体"/>
      </w:rPr>
    </w:lvl>
    <w:lvl w:ilvl="2" w:tentative="0">
      <w:start w:val="1"/>
      <w:numFmt w:val="decimal"/>
      <w:suff w:val="nothing"/>
      <w:lvlText w:val="（%3）"/>
      <w:lvlJc w:val="left"/>
      <w:pPr>
        <w:ind w:left="0" w:firstLine="402"/>
      </w:pPr>
      <w:rPr>
        <w:rFonts w:hint="eastAsia" w:ascii="宋体" w:hAnsi="宋体" w:eastAsia="宋体" w:cs="宋体"/>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6">
    <w:nsid w:val="609C82BE"/>
    <w:multiLevelType w:val="multilevel"/>
    <w:tmpl w:val="609C82BE"/>
    <w:lvl w:ilvl="0" w:tentative="0">
      <w:start w:val="1"/>
      <w:numFmt w:val="chineseCounting"/>
      <w:suff w:val="nothing"/>
      <w:lvlText w:val="%1、"/>
      <w:lvlJc w:val="left"/>
      <w:pPr>
        <w:tabs>
          <w:tab w:val="left" w:pos="0"/>
        </w:tabs>
        <w:ind w:left="0" w:firstLine="0"/>
      </w:pPr>
      <w:rPr>
        <w:rFonts w:hint="eastAsia"/>
      </w:rPr>
    </w:lvl>
    <w:lvl w:ilvl="1" w:tentative="0">
      <w:start w:val="1"/>
      <w:numFmt w:val="decimal"/>
      <w:suff w:val="nothing"/>
      <w:lvlText w:val="%2．"/>
      <w:lvlJc w:val="left"/>
      <w:pPr>
        <w:ind w:left="0" w:firstLine="400"/>
      </w:pPr>
      <w:rPr>
        <w:rFonts w:hint="eastAsia" w:ascii="宋体" w:hAnsi="宋体" w:eastAsia="宋体" w:cs="宋体"/>
      </w:rPr>
    </w:lvl>
    <w:lvl w:ilvl="2" w:tentative="0">
      <w:start w:val="1"/>
      <w:numFmt w:val="decimal"/>
      <w:suff w:val="nothing"/>
      <w:lvlText w:val="（%3）"/>
      <w:lvlJc w:val="left"/>
      <w:pPr>
        <w:ind w:left="0" w:firstLine="402"/>
      </w:pPr>
      <w:rPr>
        <w:rFonts w:hint="eastAsia" w:ascii="宋体" w:hAnsi="宋体" w:eastAsia="宋体" w:cs="宋体"/>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7">
    <w:nsid w:val="60A46CDA"/>
    <w:multiLevelType w:val="singleLevel"/>
    <w:tmpl w:val="60A46CDA"/>
    <w:lvl w:ilvl="0" w:tentative="0">
      <w:start w:val="1"/>
      <w:numFmt w:val="bullet"/>
      <w:lvlText w:val=""/>
      <w:lvlJc w:val="left"/>
      <w:pPr>
        <w:ind w:left="420" w:leftChars="0" w:hanging="420" w:firstLineChars="0"/>
      </w:pPr>
      <w:rPr>
        <w:rFonts w:hint="default" w:ascii="Wingdings" w:hAnsi="Wingdings"/>
      </w:rPr>
    </w:lvl>
  </w:abstractNum>
  <w:num w:numId="1">
    <w:abstractNumId w:val="1"/>
  </w:num>
  <w:num w:numId="2">
    <w:abstractNumId w:val="0"/>
  </w:num>
  <w:num w:numId="3">
    <w:abstractNumId w:val="7"/>
  </w:num>
  <w:num w:numId="4">
    <w:abstractNumId w:val="2"/>
  </w:num>
  <w:num w:numId="5">
    <w:abstractNumId w:val="8"/>
  </w:num>
  <w:num w:numId="6">
    <w:abstractNumId w:val="13"/>
  </w:num>
  <w:num w:numId="7">
    <w:abstractNumId w:val="14"/>
  </w:num>
  <w:num w:numId="8">
    <w:abstractNumId w:val="3"/>
  </w:num>
  <w:num w:numId="9">
    <w:abstractNumId w:val="9"/>
  </w:num>
  <w:num w:numId="10">
    <w:abstractNumId w:val="11"/>
  </w:num>
  <w:num w:numId="11">
    <w:abstractNumId w:val="10"/>
  </w:num>
  <w:num w:numId="12">
    <w:abstractNumId w:val="16"/>
  </w:num>
  <w:num w:numId="13">
    <w:abstractNumId w:val="12"/>
  </w:num>
  <w:num w:numId="14">
    <w:abstractNumId w:val="15"/>
  </w:num>
  <w:num w:numId="15">
    <w:abstractNumId w:val="4"/>
  </w:num>
  <w:num w:numId="16">
    <w:abstractNumId w:val="5"/>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spaceForUL/>
    <w:doNotLeaveBackslashAlone/>
    <w:ulTrailSpace/>
    <w:doNotExpandShiftReturn/>
    <w:useFELayout/>
    <w:compatSetting w:name="compatibilityMode" w:uri="http://schemas.microsoft.com/office/word" w:val="12"/>
  </w:compat>
  <w:rsids>
    <w:rsidRoot w:val="0057584C"/>
    <w:rsid w:val="001553E9"/>
    <w:rsid w:val="0057584C"/>
    <w:rsid w:val="00B27579"/>
    <w:rsid w:val="06D83C33"/>
    <w:rsid w:val="0A563128"/>
    <w:rsid w:val="0DEF33E2"/>
    <w:rsid w:val="10A9314C"/>
    <w:rsid w:val="130A13B6"/>
    <w:rsid w:val="130F2E25"/>
    <w:rsid w:val="1321087D"/>
    <w:rsid w:val="170939AC"/>
    <w:rsid w:val="1A0E3010"/>
    <w:rsid w:val="1C3460D4"/>
    <w:rsid w:val="1D080EDC"/>
    <w:rsid w:val="1D3F4CE3"/>
    <w:rsid w:val="1E9F5B35"/>
    <w:rsid w:val="200D3269"/>
    <w:rsid w:val="237E2708"/>
    <w:rsid w:val="27EA081D"/>
    <w:rsid w:val="2D846109"/>
    <w:rsid w:val="30D26702"/>
    <w:rsid w:val="32C62927"/>
    <w:rsid w:val="383D06F7"/>
    <w:rsid w:val="40A407DB"/>
    <w:rsid w:val="43A21C6B"/>
    <w:rsid w:val="453A1402"/>
    <w:rsid w:val="4657216A"/>
    <w:rsid w:val="4A48683B"/>
    <w:rsid w:val="4DA2012D"/>
    <w:rsid w:val="4E0F5365"/>
    <w:rsid w:val="5006157C"/>
    <w:rsid w:val="54586CD2"/>
    <w:rsid w:val="5BCF61A2"/>
    <w:rsid w:val="5D484AA4"/>
    <w:rsid w:val="5F1E325A"/>
    <w:rsid w:val="6175397C"/>
    <w:rsid w:val="652343B3"/>
    <w:rsid w:val="6B9A42D4"/>
    <w:rsid w:val="6CE32143"/>
    <w:rsid w:val="6DE568A3"/>
    <w:rsid w:val="6F9405CA"/>
    <w:rsid w:val="71B91F2B"/>
    <w:rsid w:val="722B55DA"/>
    <w:rsid w:val="72474C25"/>
    <w:rsid w:val="7433159D"/>
    <w:rsid w:val="75F67F08"/>
    <w:rsid w:val="76353F5F"/>
    <w:rsid w:val="77293C14"/>
    <w:rsid w:val="7A724384"/>
    <w:rsid w:val="7CD247A4"/>
    <w:rsid w:val="7F787AE5"/>
    <w:rsid w:val="7FAF1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3">
    <w:name w:val="heading 2"/>
    <w:basedOn w:val="1"/>
    <w:next w:val="1"/>
    <w:unhideWhenUsed/>
    <w:qFormat/>
    <w:uiPriority w:val="0"/>
    <w:pPr>
      <w:keepNext/>
      <w:keepLines/>
      <w:widowControl w:val="0"/>
      <w:spacing w:before="260" w:after="260" w:line="416" w:lineRule="auto"/>
      <w:jc w:val="both"/>
      <w:outlineLvl w:val="1"/>
    </w:pPr>
    <w:rPr>
      <w:rFonts w:ascii="Arial" w:hAnsi="Arial" w:eastAsia="黑体"/>
      <w:b/>
      <w:bCs/>
      <w:kern w:val="2"/>
      <w:sz w:val="32"/>
      <w:szCs w:val="32"/>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style>
  <w:style w:type="paragraph" w:styleId="4">
    <w:name w:val="Normal Indent"/>
    <w:basedOn w:val="1"/>
    <w:qFormat/>
    <w:uiPriority w:val="0"/>
    <w:pPr>
      <w:ind w:firstLine="420" w:firstLineChars="200"/>
    </w:pPr>
  </w:style>
  <w:style w:type="paragraph" w:styleId="5">
    <w:name w:val="footer"/>
    <w:basedOn w:val="1"/>
    <w:link w:val="10"/>
    <w:qFormat/>
    <w:uiPriority w:val="0"/>
    <w:pPr>
      <w:tabs>
        <w:tab w:val="center" w:pos="4153"/>
        <w:tab w:val="right" w:pos="8306"/>
      </w:tabs>
    </w:pPr>
    <w:rPr>
      <w:sz w:val="18"/>
      <w:szCs w:val="18"/>
    </w:rPr>
  </w:style>
  <w:style w:type="paragraph" w:styleId="6">
    <w:name w:val="header"/>
    <w:basedOn w:val="1"/>
    <w:link w:val="11"/>
    <w:qFormat/>
    <w:uiPriority w:val="0"/>
    <w:pPr>
      <w:pBdr>
        <w:bottom w:val="single" w:color="auto" w:sz="6" w:space="1"/>
      </w:pBdr>
      <w:tabs>
        <w:tab w:val="center" w:pos="4153"/>
        <w:tab w:val="right" w:pos="8306"/>
      </w:tabs>
      <w:jc w:val="center"/>
    </w:pPr>
    <w:rPr>
      <w:sz w:val="18"/>
      <w:szCs w:val="18"/>
    </w:rPr>
  </w:style>
  <w:style w:type="character" w:styleId="8">
    <w:name w:val="page number"/>
    <w:basedOn w:val="7"/>
    <w:qFormat/>
    <w:uiPriority w:val="0"/>
    <w:rPr>
      <w:rFonts w:ascii="Times New Roman" w:hAnsi="Times New Roman" w:eastAsia="宋体" w:cs="Times New Roman"/>
    </w:rPr>
  </w:style>
  <w:style w:type="character" w:customStyle="1" w:styleId="10">
    <w:name w:val="页脚 Char"/>
    <w:basedOn w:val="7"/>
    <w:link w:val="5"/>
    <w:semiHidden/>
    <w:qFormat/>
    <w:uiPriority w:val="0"/>
    <w:rPr>
      <w:rFonts w:ascii="Tahoma" w:hAnsi="Tahoma"/>
      <w:sz w:val="18"/>
      <w:szCs w:val="18"/>
    </w:rPr>
  </w:style>
  <w:style w:type="character" w:customStyle="1" w:styleId="11">
    <w:name w:val="页眉 Char"/>
    <w:basedOn w:val="7"/>
    <w:link w:val="6"/>
    <w:semiHidden/>
    <w:qFormat/>
    <w:uiPriority w:val="0"/>
    <w:rPr>
      <w:rFonts w:ascii="Tahoma" w:hAnsi="Tahoma"/>
      <w:sz w:val="18"/>
      <w:szCs w:val="18"/>
    </w:rPr>
  </w:style>
  <w:style w:type="paragraph" w:customStyle="1" w:styleId="12">
    <w:name w:val="引文目录标题1"/>
    <w:basedOn w:val="1"/>
    <w:next w:val="1"/>
    <w:qFormat/>
    <w:uiPriority w:val="0"/>
    <w:pPr>
      <w:widowControl w:val="0"/>
      <w:snapToGrid/>
      <w:spacing w:before="120" w:after="0" w:line="398" w:lineRule="atLeast"/>
      <w:jc w:val="both"/>
      <w:textAlignment w:val="baseline"/>
    </w:pPr>
    <w:rPr>
      <w:rFonts w:ascii="Arial" w:hAnsi="Arial" w:eastAsia="宋体" w:cs="Arial"/>
      <w:sz w:val="24"/>
      <w:szCs w:val="24"/>
    </w:rPr>
  </w:style>
  <w:style w:type="character" w:customStyle="1" w:styleId="13">
    <w:name w:val="Heading 21 Char"/>
    <w:qFormat/>
    <w:uiPriority w:val="0"/>
    <w:rPr>
      <w:rFonts w:ascii="仿宋_GB2312" w:hAnsi="Arial" w:eastAsia="仿宋_GB2312"/>
      <w:b/>
      <w:color w:val="000000"/>
      <w:kern w:val="44"/>
      <w:sz w:val="28"/>
      <w:lang w:val="en-US" w:eastAsia="zh-CN" w:bidi="ar-SA"/>
    </w:rPr>
  </w:style>
  <w:style w:type="paragraph" w:customStyle="1" w:styleId="14">
    <w:name w:val="&quot;表&quot;"/>
    <w:qFormat/>
    <w:uiPriority w:val="0"/>
    <w:pPr>
      <w:spacing w:after="0"/>
      <w:jc w:val="center"/>
    </w:pPr>
    <w:rPr>
      <w:rFonts w:ascii="Times New Roman" w:hAnsi="Times New Roman" w:eastAsia="宋体" w:cs="Times New Roman"/>
      <w:w w:val="99"/>
      <w:kern w:val="0"/>
      <w:sz w:val="20"/>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984</Words>
  <Characters>5609</Characters>
  <Lines>46</Lines>
  <Paragraphs>13</Paragraphs>
  <ScaleCrop>false</ScaleCrop>
  <LinksUpToDate>false</LinksUpToDate>
  <CharactersWithSpaces>6580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Administrator</cp:lastModifiedBy>
  <cp:lastPrinted>2021-05-28T06:31:48Z</cp:lastPrinted>
  <dcterms:modified xsi:type="dcterms:W3CDTF">2021-05-28T06:42:24Z</dcterms:modified>
  <dc:title>Administrator</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