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轧钢部</w:t>
      </w:r>
      <w:r>
        <w:rPr>
          <w:rFonts w:hint="eastAsia"/>
          <w:b/>
          <w:color w:val="auto"/>
          <w:sz w:val="28"/>
          <w:szCs w:val="28"/>
        </w:rPr>
        <w:t>液压站节能改造</w:t>
      </w:r>
      <w:r>
        <w:rPr>
          <w:rFonts w:hint="eastAsia"/>
          <w:b/>
          <w:color w:val="auto"/>
          <w:sz w:val="28"/>
          <w:szCs w:val="28"/>
          <w:lang w:eastAsia="zh-CN"/>
        </w:rPr>
        <w:t>技术要求</w:t>
      </w:r>
    </w:p>
    <w:p>
      <w:pPr>
        <w:widowControl/>
        <w:autoSpaceDN w:val="0"/>
        <w:spacing w:before="156" w:beforeLines="50" w:after="156" w:afterLines="50" w:line="360" w:lineRule="auto"/>
        <w:jc w:val="left"/>
        <w:rPr>
          <w:b/>
          <w:color w:val="auto"/>
          <w:kern w:val="0"/>
          <w:sz w:val="24"/>
          <w:szCs w:val="24"/>
        </w:rPr>
      </w:pPr>
      <w:r>
        <w:rPr>
          <w:rFonts w:hint="eastAsia"/>
          <w:b/>
          <w:color w:val="auto"/>
          <w:kern w:val="0"/>
          <w:sz w:val="24"/>
          <w:szCs w:val="24"/>
        </w:rPr>
        <w:t>一、现泵站参数：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设备型号</w:t>
            </w:r>
          </w:p>
        </w:tc>
        <w:tc>
          <w:tcPr>
            <w:tcW w:w="2841" w:type="dxa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小棒打包机液压站</w:t>
            </w:r>
          </w:p>
        </w:tc>
        <w:tc>
          <w:tcPr>
            <w:tcW w:w="2841" w:type="dxa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高线集卷液压站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电机数量（台）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系统流量（ L/MIN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187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使用压力（ Mpa ）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电机功率 (KW)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45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电机转速（ rpm ）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1475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油泵品牌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国产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油泵型号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QG125P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160PCY-14-1G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备用情况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 用 1 备</w:t>
            </w:r>
          </w:p>
        </w:tc>
        <w:tc>
          <w:tcPr>
            <w:tcW w:w="2841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 用 1 备</w:t>
            </w:r>
          </w:p>
        </w:tc>
      </w:tr>
    </w:tbl>
    <w:p>
      <w:pPr>
        <w:rPr>
          <w:color w:val="auto"/>
        </w:rPr>
      </w:pPr>
    </w:p>
    <w:p>
      <w:pPr>
        <w:rPr>
          <w:rFonts w:ascii="Arial" w:hAnsi="Arial" w:cs="Arial"/>
          <w:b/>
          <w:bCs w:val="0"/>
          <w:color w:val="auto"/>
          <w:sz w:val="24"/>
          <w:szCs w:val="24"/>
        </w:rPr>
      </w:pPr>
      <w:r>
        <w:rPr>
          <w:rFonts w:hint="eastAsia" w:ascii="Arial" w:hAnsi="Arial" w:cs="Arial"/>
          <w:b/>
          <w:bCs w:val="0"/>
          <w:color w:val="auto"/>
          <w:sz w:val="24"/>
          <w:szCs w:val="24"/>
        </w:rPr>
        <w:t>二、改造要求：</w:t>
      </w:r>
    </w:p>
    <w:p>
      <w:pPr>
        <w:widowControl/>
        <w:autoSpaceDN w:val="0"/>
        <w:spacing w:before="156" w:beforeLines="50" w:after="156" w:afterLines="50" w:line="360" w:lineRule="auto"/>
        <w:jc w:val="left"/>
        <w:rPr>
          <w:rFonts w:hint="eastAsia" w:eastAsiaTheme="minorEastAsia"/>
          <w:b w:val="0"/>
          <w:bCs/>
          <w:color w:val="auto"/>
          <w:sz w:val="24"/>
          <w:szCs w:val="22"/>
          <w:lang w:eastAsia="zh-CN"/>
        </w:rPr>
      </w:pPr>
      <w:r>
        <w:rPr>
          <w:rFonts w:hint="eastAsia"/>
          <w:b w:val="0"/>
          <w:bCs/>
          <w:color w:val="auto"/>
          <w:sz w:val="24"/>
          <w:szCs w:val="22"/>
          <w:lang w:val="en-US" w:eastAsia="zh-CN"/>
        </w:rPr>
        <w:t>1.</w:t>
      </w:r>
      <w:r>
        <w:rPr>
          <w:rFonts w:hint="eastAsia"/>
          <w:b w:val="0"/>
          <w:bCs/>
          <w:color w:val="auto"/>
          <w:sz w:val="24"/>
          <w:szCs w:val="22"/>
        </w:rPr>
        <w:t>改造方案</w:t>
      </w:r>
      <w:r>
        <w:rPr>
          <w:rFonts w:hint="eastAsia"/>
          <w:b w:val="0"/>
          <w:bCs/>
          <w:color w:val="auto"/>
          <w:sz w:val="24"/>
          <w:szCs w:val="22"/>
          <w:lang w:eastAsia="zh-CN"/>
        </w:rPr>
        <w:t>：</w:t>
      </w:r>
    </w:p>
    <w:p>
      <w:pPr>
        <w:widowControl/>
        <w:autoSpaceDN w:val="0"/>
        <w:spacing w:before="156" w:beforeLines="50" w:after="156" w:afterLines="50" w:line="360" w:lineRule="auto"/>
        <w:ind w:firstLine="420"/>
        <w:jc w:val="left"/>
        <w:rPr>
          <w:rFonts w:hint="eastAsia" w:ascii="Arial" w:hAnsi="Arial" w:cs="Arial"/>
          <w:b w:val="0"/>
          <w:bCs/>
          <w:color w:val="auto"/>
          <w:sz w:val="24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</w:rPr>
        <w:t>以待改液压站为基础，将原系统2台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</w:rPr>
        <w:t>（异步电机+变量柱塞泵开环系统）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</w:rPr>
        <w:t>泵组改造为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</w:rPr>
        <w:t>（永磁同步电机+变速叶片泵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  <w:lang w:eastAsia="zh-CN"/>
        </w:rPr>
        <w:t>（齿轮泵）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u w:val="single"/>
        </w:rPr>
        <w:t>+同步驱动器+压力传感器+闭环反馈同步系统）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eastAsia="zh-CN"/>
        </w:rPr>
        <w:t>。</w:t>
      </w:r>
    </w:p>
    <w:p>
      <w:pPr>
        <w:pStyle w:val="6"/>
        <w:spacing w:after="0" w:line="360" w:lineRule="auto"/>
        <w:ind w:firstLine="0" w:firstLineChars="0"/>
        <w:rPr>
          <w:rFonts w:hint="eastAsia" w:ascii="Arial" w:hAnsi="Arial" w:cs="Arial"/>
          <w:b w:val="0"/>
          <w:bCs/>
          <w:color w:val="auto"/>
          <w:sz w:val="24"/>
        </w:rPr>
      </w:pPr>
      <w:r>
        <w:rPr>
          <w:rFonts w:hint="eastAsia" w:ascii="Arial" w:hAnsi="Arial" w:cs="Arial"/>
          <w:b w:val="0"/>
          <w:bCs/>
          <w:color w:val="auto"/>
          <w:sz w:val="24"/>
          <w:lang w:val="en-US" w:eastAsia="zh-CN"/>
        </w:rPr>
        <w:t>2.</w:t>
      </w:r>
      <w:r>
        <w:rPr>
          <w:rFonts w:hint="eastAsia" w:ascii="Arial" w:hAnsi="Arial" w:cs="Arial"/>
          <w:b w:val="0"/>
          <w:bCs/>
          <w:color w:val="auto"/>
          <w:sz w:val="24"/>
        </w:rPr>
        <w:t>改造后的液压系统工作情况：</w:t>
      </w:r>
    </w:p>
    <w:p>
      <w:pPr>
        <w:widowControl/>
        <w:autoSpaceDN w:val="0"/>
        <w:spacing w:before="156" w:beforeLines="50" w:after="156" w:afterLines="50" w:line="360" w:lineRule="auto"/>
        <w:ind w:firstLine="420"/>
        <w:jc w:val="center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sz w:val="24"/>
        </w:rPr>
        <w:t>改造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参考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配置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287"/>
        <w:gridCol w:w="950"/>
        <w:gridCol w:w="875"/>
        <w:gridCol w:w="1813"/>
        <w:gridCol w:w="1208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改造数量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泵组流量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系统压力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电机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驱动器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油泵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（台）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L/min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Mpa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KW（额定转速）</w:t>
            </w:r>
          </w:p>
        </w:tc>
        <w:tc>
          <w:tcPr>
            <w:tcW w:w="120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KW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ml/r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小棒打包机液压站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187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12.0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不低于</w:t>
            </w:r>
          </w:p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42（1500r/min）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不低于</w:t>
            </w:r>
          </w:p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45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高线集卷液压站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240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12.0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55(1700r/min)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eastAsia="zh-CN"/>
              </w:rPr>
              <w:t>不低于</w:t>
            </w:r>
          </w:p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137.5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 w:val="0"/>
          <w:bCs w:val="0"/>
          <w:color w:val="auto"/>
          <w:sz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3.供货分交表                                    </w:t>
      </w:r>
      <w:r>
        <w:rPr>
          <w:rFonts w:hint="eastAsia" w:ascii="宋体" w:hAnsi="宋体"/>
          <w:b w:val="0"/>
          <w:bCs w:val="0"/>
          <w:color w:val="auto"/>
          <w:sz w:val="24"/>
        </w:rPr>
        <w:t>S：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供</w:t>
      </w:r>
      <w:r>
        <w:rPr>
          <w:rFonts w:hint="eastAsia" w:ascii="宋体" w:hAnsi="宋体"/>
          <w:b w:val="0"/>
          <w:bCs w:val="0"/>
          <w:color w:val="auto"/>
          <w:sz w:val="24"/>
        </w:rPr>
        <w:t>方；B：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需</w:t>
      </w:r>
      <w:r>
        <w:rPr>
          <w:rFonts w:hint="eastAsia" w:ascii="宋体" w:hAnsi="宋体"/>
          <w:b w:val="0"/>
          <w:bCs w:val="0"/>
          <w:color w:val="auto"/>
          <w:sz w:val="24"/>
        </w:rPr>
        <w:t>方</w:t>
      </w:r>
    </w:p>
    <w:tbl>
      <w:tblPr>
        <w:tblStyle w:val="7"/>
        <w:tblpPr w:leftFromText="180" w:rightFromText="180" w:vertAnchor="text" w:horzAnchor="page" w:tblpX="1153" w:tblpY="467"/>
        <w:tblOverlap w:val="never"/>
        <w:tblW w:w="9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54"/>
        <w:gridCol w:w="707"/>
        <w:gridCol w:w="650"/>
        <w:gridCol w:w="498"/>
        <w:gridCol w:w="512"/>
        <w:gridCol w:w="513"/>
        <w:gridCol w:w="675"/>
        <w:gridCol w:w="72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供货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安装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指导安装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指导调试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齿轮（叶片）泵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成套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进口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知名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永磁同步电机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配套泵定制一线品牌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伺服驱动器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定制一线品牌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压力传感器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贺德克或进口知名品牌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电控系统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S/B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配套电器柜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 xml:space="preserve">PLC 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定制一线品牌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触摸屏 TGA62-MT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定制一线品牌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智能节能系统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控制软件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定制一线品牌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95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备注：</w:t>
            </w:r>
          </w:p>
          <w:p>
            <w:pPr>
              <w:widowControl/>
              <w:jc w:val="left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1、以上为主要配件清单，另有泵架、法兰、联轴器、制动电阻、高压油管、屏蔽信号线、进出线电缆等。</w:t>
            </w:r>
          </w:p>
          <w:p>
            <w:pPr>
              <w:widowControl/>
              <w:jc w:val="left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2、本次改造所有材料均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  <w:t>由</w:t>
            </w:r>
            <w:r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  <w:t>供方负责供货，供方确保本次改造工程的完整性。</w:t>
            </w:r>
          </w:p>
        </w:tc>
      </w:tr>
    </w:tbl>
    <w:p>
      <w:pPr>
        <w:pStyle w:val="6"/>
        <w:spacing w:after="0" w:line="360" w:lineRule="auto"/>
        <w:ind w:left="0" w:leftChars="0" w:firstLine="0" w:firstLineChars="0"/>
        <w:rPr>
          <w:rFonts w:hint="eastAsia" w:ascii="宋体" w:hAnsi="宋体" w:cs="Arial"/>
          <w:color w:val="auto"/>
          <w:sz w:val="24"/>
        </w:rPr>
      </w:pP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hint="eastAsia"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满足原系统的流量和压力要求；</w:t>
      </w: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hint="eastAsia"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  <w:lang w:eastAsia="zh-CN"/>
        </w:rPr>
        <w:t>改造后系统满足以下组合使用需要；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2"/>
        <w:gridCol w:w="1992"/>
        <w:gridCol w:w="2168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系统使用组合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节能泵组（一）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节能泵组（二）</w:t>
            </w:r>
          </w:p>
        </w:tc>
        <w:tc>
          <w:tcPr>
            <w:tcW w:w="216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原系统（备用泵组）</w:t>
            </w:r>
          </w:p>
        </w:tc>
        <w:tc>
          <w:tcPr>
            <w:tcW w:w="181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rPr>
                <w:rFonts w:hint="default" w:ascii="Arial" w:hAnsi="Arial" w:cs="Arial" w:eastAsia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val="en-US" w:eastAsia="zh-CN"/>
              </w:rPr>
              <w:t xml:space="preserve">  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组合一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vertAlign w:val="baseline"/>
              </w:rPr>
              <w:t>√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vertAlign w:val="baseline"/>
              </w:rPr>
              <w:t>√</w:t>
            </w:r>
          </w:p>
        </w:tc>
        <w:tc>
          <w:tcPr>
            <w:tcW w:w="216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</w:p>
        </w:tc>
        <w:tc>
          <w:tcPr>
            <w:tcW w:w="181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default" w:ascii="Arial" w:hAnsi="Arial" w:cs="Arial" w:eastAsiaTheme="minorEastAsia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color w:val="auto"/>
                <w:sz w:val="24"/>
                <w:szCs w:val="28"/>
                <w:lang w:val="en-US" w:eastAsia="zh-CN"/>
              </w:rPr>
              <w:t>40%(±5%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组合二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vertAlign w:val="baseline"/>
              </w:rPr>
              <w:t>√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</w:p>
        </w:tc>
        <w:tc>
          <w:tcPr>
            <w:tcW w:w="216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vertAlign w:val="baseline"/>
              </w:rPr>
              <w:t>√</w:t>
            </w:r>
          </w:p>
        </w:tc>
        <w:tc>
          <w:tcPr>
            <w:tcW w:w="181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承诺节电率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 w:eastAsiaTheme="minorEastAsia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组合三</w:t>
            </w: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</w:p>
        </w:tc>
        <w:tc>
          <w:tcPr>
            <w:tcW w:w="1992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vertAlign w:val="baseline"/>
              </w:rPr>
              <w:t>√</w:t>
            </w:r>
          </w:p>
        </w:tc>
        <w:tc>
          <w:tcPr>
            <w:tcW w:w="216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b/>
                <w:bCs/>
                <w:color w:val="auto"/>
                <w:sz w:val="24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4"/>
                <w:vertAlign w:val="baseline"/>
              </w:rPr>
              <w:t>√</w:t>
            </w:r>
          </w:p>
        </w:tc>
        <w:tc>
          <w:tcPr>
            <w:tcW w:w="1818" w:type="dxa"/>
          </w:tcPr>
          <w:p>
            <w:pPr>
              <w:pStyle w:val="6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hint="eastAsia" w:ascii="Arial" w:hAnsi="Arial" w:cs="Arial"/>
                <w:color w:val="auto"/>
                <w:sz w:val="24"/>
                <w:vertAlign w:val="baseline"/>
              </w:rPr>
            </w:pPr>
            <w:r>
              <w:rPr>
                <w:rFonts w:hint="eastAsia" w:ascii="Arial" w:hAnsi="Arial" w:cs="Arial"/>
                <w:color w:val="auto"/>
                <w:sz w:val="24"/>
                <w:vertAlign w:val="baseline"/>
                <w:lang w:eastAsia="zh-CN"/>
              </w:rPr>
              <w:t>承诺节电率</w:t>
            </w:r>
          </w:p>
        </w:tc>
      </w:tr>
    </w:tbl>
    <w:p>
      <w:pPr>
        <w:pStyle w:val="6"/>
        <w:numPr>
          <w:ilvl w:val="0"/>
          <w:numId w:val="0"/>
        </w:numPr>
        <w:spacing w:after="0" w:line="360" w:lineRule="auto"/>
        <w:rPr>
          <w:rFonts w:hint="eastAsia" w:ascii="Arial" w:hAnsi="Arial" w:cs="Arial"/>
          <w:color w:val="auto"/>
          <w:sz w:val="24"/>
        </w:rPr>
      </w:pP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不改变原电气人员控制程序，不改变液压站原有操作方法、调整方法、使用习惯等；</w:t>
      </w: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液压系统油温下降3~10度，密封件不易老化，泄漏减少；</w:t>
      </w: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冷却循环水系统压力减少，减少水资源的消耗和污染；</w:t>
      </w: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噪音降低，振动减小；</w:t>
      </w: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bookmarkStart w:id="0" w:name="_Toc13456"/>
      <w:bookmarkStart w:id="1" w:name="_Toc3227"/>
      <w:bookmarkStart w:id="2" w:name="_Toc433795828"/>
      <w:bookmarkStart w:id="3" w:name="_Toc7554"/>
      <w:r>
        <w:rPr>
          <w:rFonts w:hint="eastAsia" w:ascii="Arial" w:hAnsi="Arial" w:cs="Arial"/>
          <w:color w:val="auto"/>
          <w:sz w:val="24"/>
        </w:rPr>
        <w:t>系统配置电抗及滤波设备，提升车间用电质量，降低电能污染；</w:t>
      </w:r>
    </w:p>
    <w:p>
      <w:pPr>
        <w:pStyle w:val="6"/>
        <w:numPr>
          <w:ilvl w:val="0"/>
          <w:numId w:val="1"/>
        </w:numPr>
        <w:spacing w:after="0" w:line="360" w:lineRule="auto"/>
        <w:ind w:left="360" w:firstLine="0" w:firstLineChars="0"/>
        <w:rPr>
          <w:rFonts w:hint="eastAsia" w:ascii="宋体" w:hAnsi="宋体" w:cs="宋体"/>
          <w:bCs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要对液压站原泵连接进行配套改造，满足快速互换性要求。</w:t>
      </w:r>
    </w:p>
    <w:bookmarkEnd w:id="0"/>
    <w:bookmarkEnd w:id="1"/>
    <w:bookmarkEnd w:id="2"/>
    <w:bookmarkEnd w:id="3"/>
    <w:p>
      <w:pPr>
        <w:rPr>
          <w:rFonts w:hint="eastAsia" w:ascii="Arial" w:hAnsi="Arial" w:cs="Arial"/>
          <w:b/>
          <w:color w:val="auto"/>
          <w:sz w:val="24"/>
          <w:szCs w:val="24"/>
        </w:rPr>
      </w:pPr>
    </w:p>
    <w:p>
      <w:pPr>
        <w:rPr>
          <w:color w:val="auto"/>
        </w:rPr>
      </w:pPr>
      <w:r>
        <w:rPr>
          <w:rFonts w:hint="eastAsia" w:ascii="Arial" w:hAnsi="Arial" w:cs="Arial"/>
          <w:b/>
          <w:color w:val="auto"/>
          <w:sz w:val="24"/>
          <w:szCs w:val="24"/>
        </w:rPr>
        <w:t>三、设备考核（验收标准）：</w:t>
      </w:r>
    </w:p>
    <w:p>
      <w:pPr>
        <w:spacing w:line="360" w:lineRule="auto"/>
        <w:ind w:right="380" w:firstLine="240" w:firstLineChars="1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1.</w:t>
      </w:r>
      <w:r>
        <w:rPr>
          <w:rFonts w:hint="eastAsia"/>
          <w:color w:val="auto"/>
          <w:sz w:val="24"/>
          <w:szCs w:val="22"/>
        </w:rPr>
        <w:t>设备配置符合设备配置表，图纸资料交付完整。</w:t>
      </w:r>
    </w:p>
    <w:p>
      <w:pPr>
        <w:spacing w:line="360" w:lineRule="auto"/>
        <w:ind w:right="380"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2.</w:t>
      </w:r>
      <w:r>
        <w:rPr>
          <w:rFonts w:hint="eastAsia" w:ascii="宋体" w:hAnsi="宋体"/>
          <w:color w:val="auto"/>
          <w:spacing w:val="-1"/>
          <w:sz w:val="24"/>
          <w:szCs w:val="24"/>
        </w:rPr>
        <w:t>技术协议及商务合同签订后</w:t>
      </w:r>
      <w:r>
        <w:rPr>
          <w:rFonts w:hint="eastAsia" w:ascii="宋体" w:hAnsi="宋体"/>
          <w:color w:val="auto"/>
          <w:spacing w:val="-1"/>
          <w:sz w:val="24"/>
          <w:szCs w:val="24"/>
          <w:lang w:eastAsia="zh-CN"/>
        </w:rPr>
        <w:t>供方</w:t>
      </w:r>
      <w:r>
        <w:rPr>
          <w:rFonts w:hint="eastAsia" w:ascii="宋体" w:hAnsi="宋体"/>
          <w:color w:val="auto"/>
          <w:spacing w:val="-1"/>
          <w:sz w:val="24"/>
          <w:szCs w:val="24"/>
        </w:rPr>
        <w:t>安排人员对</w:t>
      </w:r>
      <w:r>
        <w:rPr>
          <w:rFonts w:hint="eastAsia" w:ascii="宋体" w:hAnsi="宋体"/>
          <w:color w:val="auto"/>
          <w:spacing w:val="-1"/>
          <w:sz w:val="24"/>
          <w:szCs w:val="24"/>
          <w:lang w:eastAsia="zh-CN"/>
        </w:rPr>
        <w:t>需方</w:t>
      </w:r>
      <w:r>
        <w:rPr>
          <w:rFonts w:hint="eastAsia" w:ascii="宋体" w:hAnsi="宋体"/>
          <w:color w:val="auto"/>
          <w:spacing w:val="-1"/>
          <w:sz w:val="24"/>
          <w:szCs w:val="24"/>
        </w:rPr>
        <w:t>现场液压站进行改造前后数据采集，所采</w:t>
      </w:r>
      <w:r>
        <w:rPr>
          <w:rFonts w:hint="eastAsia" w:ascii="宋体" w:hAnsi="宋体"/>
          <w:color w:val="auto"/>
          <w:sz w:val="24"/>
          <w:szCs w:val="24"/>
        </w:rPr>
        <w:t>集数据必须得到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需方</w:t>
      </w:r>
      <w:r>
        <w:rPr>
          <w:rFonts w:hint="eastAsia" w:ascii="宋体" w:hAnsi="宋体"/>
          <w:color w:val="auto"/>
          <w:sz w:val="24"/>
          <w:szCs w:val="24"/>
        </w:rPr>
        <w:t>认可。</w:t>
      </w:r>
    </w:p>
    <w:p>
      <w:pPr>
        <w:spacing w:line="360" w:lineRule="auto"/>
        <w:ind w:firstLine="240" w:firstLineChars="1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szCs w:val="24"/>
        </w:rPr>
        <w:t>设备空载运行</w:t>
      </w:r>
      <w:r>
        <w:rPr>
          <w:rFonts w:hint="eastAsia" w:ascii="宋体" w:hAnsi="宋体"/>
          <w:color w:val="auto"/>
          <w:sz w:val="24"/>
          <w:szCs w:val="24"/>
        </w:rPr>
        <w:t>考核标准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3.1连续运行，设备平稳，无异常震动异声，不影响液压系统各零部件正常使用。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3.2管路无渗漏。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3.3改造完成后设备正常运行，双方开始节电率测试。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color w:val="auto"/>
          <w:kern w:val="0"/>
          <w:sz w:val="24"/>
          <w:szCs w:val="21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3.4液压站液压站节电率达到40%(±5%</w:t>
      </w:r>
      <w:r>
        <w:rPr>
          <w:rFonts w:hint="eastAsia" w:ascii="Arial" w:hAnsi="Arial" w:cs="Arial"/>
          <w:color w:val="auto"/>
          <w:kern w:val="0"/>
          <w:sz w:val="24"/>
          <w:szCs w:val="21"/>
        </w:rPr>
        <w:t>)</w:t>
      </w:r>
      <w:r>
        <w:rPr>
          <w:rFonts w:hint="eastAsia" w:ascii="Arial" w:hAnsi="Arial" w:cs="Arial"/>
          <w:color w:val="auto"/>
          <w:kern w:val="0"/>
          <w:sz w:val="24"/>
          <w:szCs w:val="21"/>
          <w:lang w:eastAsia="zh-CN"/>
        </w:rPr>
        <w:t>或以上</w:t>
      </w:r>
      <w:r>
        <w:rPr>
          <w:rFonts w:hint="eastAsia" w:ascii="Arial" w:hAnsi="Arial" w:cs="Arial"/>
          <w:color w:val="auto"/>
          <w:kern w:val="0"/>
          <w:sz w:val="24"/>
          <w:szCs w:val="21"/>
        </w:rPr>
        <w:t>。</w:t>
      </w:r>
    </w:p>
    <w:p>
      <w:pPr>
        <w:spacing w:line="360" w:lineRule="auto"/>
        <w:ind w:right="380" w:firstLine="240" w:firstLineChars="1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4.设备验收标准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 xml:space="preserve">4.1 </w:t>
      </w:r>
      <w:r>
        <w:rPr>
          <w:rFonts w:hint="eastAsia" w:ascii="Arial" w:hAnsi="Arial" w:cs="Arial"/>
          <w:b/>
          <w:bCs w:val="0"/>
          <w:i/>
          <w:iCs/>
          <w:color w:val="auto"/>
          <w:sz w:val="24"/>
          <w:szCs w:val="28"/>
          <w:lang w:val="en-US" w:eastAsia="zh-CN"/>
        </w:rPr>
        <w:t>设备安装结束交付后，对轧线所有规格进行一次验收，原则上不超过一个月，无问题验收通过。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4.2 连续运行设备各动作功能、速度正常，满足生产要求。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4.3 改造后油压波动不能影响原有的设备运行。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4.4 电器控制部分运行良好，无异常。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4.5 改造后的电控部分不能干扰到原设备的正常运行。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4.6性能稳定、不影响需方正常用电及生产工况、安全。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4.7节能改造不改变原系统液压原理设计，压力流量必须满足使用。</w:t>
      </w:r>
    </w:p>
    <w:p>
      <w:pPr>
        <w:spacing w:line="360" w:lineRule="auto"/>
        <w:ind w:right="380" w:firstLine="480" w:firstLineChars="200"/>
        <w:rPr>
          <w:rFonts w:hint="eastAsia" w:ascii="Arial" w:hAnsi="Arial" w:cs="Arial"/>
          <w:color w:val="auto"/>
          <w:sz w:val="24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4.8若节电率达不到预期效果、或改进后伺服系统不能满足实际生产使用，由供方无条件拆除，并恢复原状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eastAsia" w:ascii="Arial" w:hAnsi="Arial" w:cs="Arial"/>
          <w:b/>
          <w:color w:val="auto"/>
          <w:sz w:val="24"/>
          <w:szCs w:val="24"/>
        </w:rPr>
      </w:pPr>
      <w:r>
        <w:rPr>
          <w:rFonts w:hint="eastAsia" w:ascii="Arial" w:hAnsi="Arial" w:cs="Arial"/>
          <w:b/>
          <w:color w:val="auto"/>
          <w:sz w:val="24"/>
          <w:szCs w:val="24"/>
        </w:rPr>
        <w:t>四、质保期及服务：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Arial" w:hAnsi="Arial" w:cs="Arial"/>
          <w:bCs/>
          <w:color w:val="auto"/>
          <w:sz w:val="24"/>
          <w:szCs w:val="28"/>
          <w:lang w:val="en-US" w:eastAsia="zh-CN"/>
        </w:rPr>
        <w:t>1.</w:t>
      </w:r>
      <w:r>
        <w:rPr>
          <w:rFonts w:ascii="宋体" w:hAnsi="宋体"/>
          <w:color w:val="auto"/>
          <w:sz w:val="24"/>
        </w:rPr>
        <w:t>由</w:t>
      </w:r>
      <w:r>
        <w:rPr>
          <w:rFonts w:hint="eastAsia" w:ascii="宋体" w:hAnsi="宋体"/>
          <w:color w:val="auto"/>
          <w:sz w:val="24"/>
          <w:lang w:eastAsia="zh-CN"/>
        </w:rPr>
        <w:t>供方</w:t>
      </w:r>
      <w:r>
        <w:rPr>
          <w:rFonts w:ascii="宋体" w:hAnsi="宋体"/>
          <w:color w:val="auto"/>
          <w:sz w:val="24"/>
        </w:rPr>
        <w:t>对</w:t>
      </w:r>
      <w:r>
        <w:rPr>
          <w:rFonts w:hint="eastAsia" w:ascii="宋体" w:hAnsi="宋体"/>
          <w:color w:val="auto"/>
          <w:sz w:val="24"/>
          <w:lang w:eastAsia="zh-CN"/>
        </w:rPr>
        <w:t>需方</w:t>
      </w:r>
      <w:r>
        <w:rPr>
          <w:rFonts w:ascii="宋体" w:hAnsi="宋体"/>
          <w:color w:val="auto"/>
          <w:sz w:val="24"/>
        </w:rPr>
        <w:t>人员</w:t>
      </w:r>
      <w:r>
        <w:rPr>
          <w:rFonts w:hint="eastAsia" w:ascii="宋体" w:hAnsi="宋体"/>
          <w:color w:val="auto"/>
          <w:sz w:val="24"/>
        </w:rPr>
        <w:t>（不少于2人）</w:t>
      </w:r>
      <w:r>
        <w:rPr>
          <w:rFonts w:ascii="宋体" w:hAnsi="宋体"/>
          <w:color w:val="auto"/>
          <w:sz w:val="24"/>
        </w:rPr>
        <w:t>进行操作维修使用培训，培训时间不少于8小时，</w:t>
      </w:r>
      <w:r>
        <w:rPr>
          <w:rFonts w:hint="eastAsia" w:ascii="宋体" w:hAnsi="宋体"/>
          <w:color w:val="auto"/>
          <w:sz w:val="24"/>
        </w:rPr>
        <w:t>培训内容包括不限于：设备日常润滑维护保养要求；设备的操作规程及安全注意事项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；设备的调试方法及设备故障的排除方法。</w:t>
      </w:r>
    </w:p>
    <w:p>
      <w:pPr>
        <w:adjustRightInd w:val="0"/>
        <w:spacing w:line="360" w:lineRule="auto"/>
        <w:ind w:firstLine="480" w:firstLineChars="200"/>
        <w:jc w:val="left"/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2.设备调试合格可投入使用及培训完成后，</w:t>
      </w:r>
      <w:r>
        <w:rPr>
          <w:rFonts w:hint="eastAsia" w:ascii="Arial" w:hAnsi="Arial" w:cs="Arial"/>
          <w:color w:val="auto"/>
          <w:kern w:val="2"/>
          <w:sz w:val="24"/>
          <w:szCs w:val="24"/>
          <w:lang w:val="en-US" w:eastAsia="zh-CN" w:bidi="ar-SA"/>
        </w:rPr>
        <w:t>需方</w:t>
      </w: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方可安排操作员工上岗。</w:t>
      </w:r>
    </w:p>
    <w:p>
      <w:pPr>
        <w:adjustRightInd w:val="0"/>
        <w:spacing w:line="360" w:lineRule="auto"/>
        <w:ind w:firstLine="480" w:firstLineChars="200"/>
        <w:jc w:val="left"/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3.质量保证期</w:t>
      </w:r>
    </w:p>
    <w:p>
      <w:pPr>
        <w:pStyle w:val="5"/>
        <w:spacing w:line="360" w:lineRule="auto"/>
        <w:ind w:firstLine="480" w:firstLineChars="200"/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3.1设备的保修期：电机、驱动器质保期为18个月，其它配件质保期为12个月，质保期内</w:t>
      </w:r>
      <w:r>
        <w:rPr>
          <w:rFonts w:hint="eastAsia" w:cs="Arial"/>
          <w:color w:val="auto"/>
          <w:kern w:val="2"/>
          <w:sz w:val="24"/>
          <w:szCs w:val="24"/>
          <w:lang w:val="en-US" w:eastAsia="zh-CN" w:bidi="ar-SA"/>
        </w:rPr>
        <w:t>需方</w:t>
      </w: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设备出现故障，由</w:t>
      </w:r>
      <w:r>
        <w:rPr>
          <w:rFonts w:hint="eastAsia" w:cs="Arial"/>
          <w:color w:val="auto"/>
          <w:kern w:val="2"/>
          <w:sz w:val="24"/>
          <w:szCs w:val="24"/>
          <w:lang w:val="en-US" w:eastAsia="zh-CN" w:bidi="ar-SA"/>
        </w:rPr>
        <w:t>供方</w:t>
      </w: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提供配件免费更换。</w:t>
      </w:r>
      <w:r>
        <w:rPr>
          <w:rFonts w:hint="eastAsia" w:cs="Arial"/>
          <w:color w:val="auto"/>
          <w:kern w:val="2"/>
          <w:sz w:val="24"/>
          <w:szCs w:val="24"/>
          <w:lang w:val="en-US" w:eastAsia="zh-CN" w:bidi="ar-SA"/>
        </w:rPr>
        <w:t>需方原因协商解决</w:t>
      </w: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。质保期限自</w:t>
      </w:r>
      <w:r>
        <w:rPr>
          <w:rFonts w:hint="eastAsia" w:cs="Arial"/>
          <w:color w:val="auto"/>
          <w:kern w:val="2"/>
          <w:sz w:val="24"/>
          <w:szCs w:val="24"/>
          <w:lang w:val="en-US" w:eastAsia="zh-CN" w:bidi="ar-SA"/>
        </w:rPr>
        <w:t>需方</w:t>
      </w:r>
      <w:r>
        <w:rPr>
          <w:rFonts w:hint="eastAsia" w:ascii="Arial" w:hAnsi="Arial" w:cs="Arial" w:eastAsiaTheme="minorEastAsia"/>
          <w:color w:val="auto"/>
          <w:kern w:val="2"/>
          <w:sz w:val="24"/>
          <w:szCs w:val="24"/>
          <w:lang w:val="en-US" w:eastAsia="zh-CN" w:bidi="ar-SA"/>
        </w:rPr>
        <w:t>验收后开始计算。</w:t>
      </w:r>
    </w:p>
    <w:p>
      <w:pPr>
        <w:spacing w:line="360" w:lineRule="auto"/>
        <w:rPr>
          <w:rFonts w:hint="eastAsia" w:ascii="Arial" w:hAnsi="Arial" w:cs="Arial"/>
          <w:b/>
          <w:color w:val="auto"/>
          <w:sz w:val="24"/>
          <w:szCs w:val="24"/>
        </w:rPr>
      </w:pPr>
      <w:r>
        <w:rPr>
          <w:rFonts w:hint="eastAsia" w:ascii="Arial" w:hAnsi="Arial" w:cs="Arial"/>
          <w:b/>
          <w:color w:val="auto"/>
          <w:sz w:val="24"/>
          <w:szCs w:val="24"/>
        </w:rPr>
        <w:t xml:space="preserve">五、项目进度： </w:t>
      </w:r>
    </w:p>
    <w:p>
      <w:pPr>
        <w:pStyle w:val="6"/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1.从技术协议签定后</w:t>
      </w:r>
      <w:r>
        <w:rPr>
          <w:rFonts w:hint="eastAsia" w:ascii="Arial" w:hAnsi="Arial" w:cs="Arial"/>
          <w:color w:val="auto"/>
          <w:sz w:val="24"/>
          <w:lang w:val="en-US" w:eastAsia="zh-CN"/>
        </w:rPr>
        <w:t>15天内，</w:t>
      </w:r>
      <w:r>
        <w:rPr>
          <w:rFonts w:hint="eastAsia" w:ascii="Arial" w:hAnsi="Arial" w:cs="Arial"/>
          <w:color w:val="auto"/>
          <w:sz w:val="24"/>
        </w:rPr>
        <w:t>开始测试改造前设备的实际耗电情况（安装电表）</w:t>
      </w:r>
      <w:r>
        <w:rPr>
          <w:rFonts w:hint="eastAsia" w:ascii="Arial" w:hAnsi="Arial" w:cs="Arial"/>
          <w:color w:val="auto"/>
          <w:sz w:val="24"/>
          <w:lang w:eastAsia="zh-CN"/>
        </w:rPr>
        <w:t>，</w:t>
      </w:r>
      <w:r>
        <w:rPr>
          <w:rFonts w:hint="eastAsia" w:ascii="Arial" w:hAnsi="Arial" w:cs="Arial"/>
          <w:color w:val="auto"/>
          <w:sz w:val="24"/>
        </w:rPr>
        <w:t xml:space="preserve">。 </w:t>
      </w:r>
    </w:p>
    <w:p>
      <w:pPr>
        <w:pStyle w:val="6"/>
        <w:spacing w:after="0" w:line="360" w:lineRule="auto"/>
        <w:ind w:left="360" w:firstLine="0" w:firstLineChars="0"/>
        <w:rPr>
          <w:rFonts w:hint="eastAsia"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>2.</w:t>
      </w:r>
      <w:r>
        <w:rPr>
          <w:rFonts w:hint="eastAsia"/>
          <w:color w:val="auto"/>
          <w:sz w:val="24"/>
        </w:rPr>
        <w:t>设备</w:t>
      </w:r>
      <w:r>
        <w:rPr>
          <w:rFonts w:hint="eastAsia"/>
          <w:color w:val="auto"/>
          <w:sz w:val="24"/>
          <w:lang w:eastAsia="zh-CN"/>
        </w:rPr>
        <w:t>供货</w:t>
      </w:r>
      <w:r>
        <w:rPr>
          <w:rFonts w:hint="eastAsia"/>
          <w:color w:val="auto"/>
          <w:sz w:val="24"/>
        </w:rPr>
        <w:t>周期</w:t>
      </w:r>
      <w:r>
        <w:rPr>
          <w:rFonts w:hint="eastAsia"/>
          <w:color w:val="auto"/>
          <w:sz w:val="24"/>
          <w:lang w:val="en-US" w:eastAsia="zh-CN"/>
        </w:rPr>
        <w:t>不得超过50</w:t>
      </w:r>
      <w:r>
        <w:rPr>
          <w:rFonts w:hint="eastAsia"/>
          <w:color w:val="auto"/>
          <w:sz w:val="24"/>
        </w:rPr>
        <w:t>个工作日（由商务合同签署日起）</w:t>
      </w:r>
      <w:r>
        <w:rPr>
          <w:rFonts w:hint="eastAsia" w:ascii="Arial" w:hAnsi="Arial" w:cs="Arial"/>
          <w:color w:val="auto"/>
          <w:sz w:val="24"/>
        </w:rPr>
        <w:t xml:space="preserve">。 </w:t>
      </w:r>
    </w:p>
    <w:p>
      <w:pPr>
        <w:pStyle w:val="6"/>
        <w:spacing w:after="0" w:line="360" w:lineRule="auto"/>
        <w:ind w:left="360" w:firstLine="0" w:firstLineChars="0"/>
        <w:rPr>
          <w:rFonts w:ascii="Arial" w:hAnsi="Arial" w:cs="Arial"/>
          <w:color w:val="auto"/>
          <w:sz w:val="24"/>
        </w:rPr>
      </w:pPr>
      <w:r>
        <w:rPr>
          <w:rFonts w:hint="eastAsia" w:ascii="Arial" w:hAnsi="Arial" w:cs="Arial"/>
          <w:color w:val="auto"/>
          <w:sz w:val="24"/>
        </w:rPr>
        <w:t xml:space="preserve"> </w:t>
      </w:r>
    </w:p>
    <w:p>
      <w:pPr>
        <w:pStyle w:val="6"/>
        <w:spacing w:after="0" w:line="360" w:lineRule="auto"/>
        <w:ind w:left="360" w:firstLine="0" w:firstLineChars="0"/>
        <w:jc w:val="right"/>
        <w:rPr>
          <w:rFonts w:hint="default" w:ascii="Arial" w:hAnsi="Arial" w:cs="Arial"/>
          <w:color w:val="auto"/>
          <w:sz w:val="24"/>
          <w:lang w:val="en-US" w:eastAsia="zh-CN"/>
        </w:rPr>
      </w:pPr>
      <w:bookmarkStart w:id="4" w:name="_GoBack"/>
      <w:bookmarkEnd w:id="4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 w:ascii="楷体_GB2312" w:eastAsia="楷体_GB2312"/>
        <w:b/>
        <w:sz w:val="28"/>
        <w:szCs w:val="28"/>
      </w:rPr>
    </w:pPr>
    <w:r>
      <w:rPr>
        <w:rFonts w:hint="eastAsia"/>
      </w:rPr>
      <w:t xml:space="preserve"> 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E2432"/>
    <w:multiLevelType w:val="singleLevel"/>
    <w:tmpl w:val="648E24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D4"/>
    <w:rsid w:val="00057036"/>
    <w:rsid w:val="001871C1"/>
    <w:rsid w:val="004E75D4"/>
    <w:rsid w:val="005B0780"/>
    <w:rsid w:val="00623C41"/>
    <w:rsid w:val="007C0ACE"/>
    <w:rsid w:val="008672A0"/>
    <w:rsid w:val="008F73F8"/>
    <w:rsid w:val="00933B68"/>
    <w:rsid w:val="00A62A7F"/>
    <w:rsid w:val="00B87550"/>
    <w:rsid w:val="00D35194"/>
    <w:rsid w:val="00EA554D"/>
    <w:rsid w:val="06AD1D6A"/>
    <w:rsid w:val="0AE5002B"/>
    <w:rsid w:val="0AEC17F1"/>
    <w:rsid w:val="158925DE"/>
    <w:rsid w:val="16150C49"/>
    <w:rsid w:val="1F6F5F41"/>
    <w:rsid w:val="23772451"/>
    <w:rsid w:val="27816F73"/>
    <w:rsid w:val="293E60D3"/>
    <w:rsid w:val="2EF81954"/>
    <w:rsid w:val="330561AB"/>
    <w:rsid w:val="368B0B75"/>
    <w:rsid w:val="3C624A53"/>
    <w:rsid w:val="40B240CB"/>
    <w:rsid w:val="41FA1481"/>
    <w:rsid w:val="46FA016C"/>
    <w:rsid w:val="496C1921"/>
    <w:rsid w:val="497C4A20"/>
    <w:rsid w:val="4BAA7C10"/>
    <w:rsid w:val="4C210CD3"/>
    <w:rsid w:val="52B717CD"/>
    <w:rsid w:val="58D51CEF"/>
    <w:rsid w:val="5DA827E9"/>
    <w:rsid w:val="62CD3995"/>
    <w:rsid w:val="64F8524D"/>
    <w:rsid w:val="66297FBB"/>
    <w:rsid w:val="67953D9C"/>
    <w:rsid w:val="69501866"/>
    <w:rsid w:val="779B0856"/>
    <w:rsid w:val="78251DC8"/>
    <w:rsid w:val="79872CDA"/>
    <w:rsid w:val="7A4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6">
    <w:name w:val="Body Text First Indent"/>
    <w:basedOn w:val="2"/>
    <w:link w:val="11"/>
    <w:qFormat/>
    <w:uiPriority w:val="0"/>
    <w:pPr>
      <w:ind w:firstLine="420" w:firstLineChars="100"/>
    </w:pPr>
    <w:rPr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首行缩进 Char"/>
    <w:link w:val="6"/>
    <w:qFormat/>
    <w:uiPriority w:val="0"/>
    <w:rPr>
      <w:szCs w:val="24"/>
    </w:rPr>
  </w:style>
  <w:style w:type="character" w:customStyle="1" w:styleId="12">
    <w:name w:val="正文文本 Char"/>
    <w:basedOn w:val="9"/>
    <w:link w:val="2"/>
    <w:semiHidden/>
    <w:qFormat/>
    <w:uiPriority w:val="99"/>
  </w:style>
  <w:style w:type="character" w:customStyle="1" w:styleId="13">
    <w:name w:val="正文首行缩进 Char1"/>
    <w:basedOn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744</Characters>
  <Lines>6</Lines>
  <Paragraphs>1</Paragraphs>
  <TotalTime>2</TotalTime>
  <ScaleCrop>false</ScaleCrop>
  <LinksUpToDate>false</LinksUpToDate>
  <CharactersWithSpaces>873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2021-04-25T05:15:00Z</dcterms:created>
  <dc:creator>xb21cn</dc:creator>
  <cp:lastModifiedBy>谭凯华</cp:lastModifiedBy>
  <dcterms:modified xsi:type="dcterms:W3CDTF">2021-06-02T07:57:32Z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973BA1E0A9904CD4AC9E403E5BD04BA8</vt:lpwstr>
  </property>
</Properties>
</file>