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熟白云石粉、石块</w:t>
      </w:r>
    </w:p>
    <w:p>
      <w:pPr>
        <w:jc w:val="center"/>
        <w:rPr>
          <w:color w:val="000000"/>
          <w:sz w:val="44"/>
          <w:szCs w:val="44"/>
        </w:rPr>
      </w:pPr>
      <w:r>
        <w:rPr>
          <w:rFonts w:hint="eastAsia" w:ascii="宋体" w:hAnsi="宋体"/>
          <w:b/>
          <w:sz w:val="44"/>
          <w:szCs w:val="44"/>
          <w:lang w:val="en-US" w:eastAsia="zh-CN"/>
        </w:rPr>
        <w:t>招标</w:t>
      </w:r>
      <w:r>
        <w:rPr>
          <w:rFonts w:hint="eastAsia" w:ascii="宋体" w:hAnsi="宋体"/>
          <w:b/>
          <w:sz w:val="44"/>
          <w:szCs w:val="44"/>
        </w:rPr>
        <w:t>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lang w:val="en-US" w:eastAsia="zh-CN"/>
        </w:rPr>
        <w:t>6</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u w:val="single"/>
        </w:rPr>
        <w:t xml:space="preserve"> </w:t>
      </w:r>
      <w:r>
        <w:rPr>
          <w:rFonts w:hint="eastAsia"/>
          <w:color w:val="000000"/>
          <w:sz w:val="24"/>
          <w:szCs w:val="24"/>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宋体" w:hAnsi="宋体"/>
          <w:color w:val="000000"/>
          <w:u w:val="single"/>
        </w:rPr>
        <w:t xml:space="preserve"> </w:t>
      </w:r>
      <w:r>
        <w:rPr>
          <w:rFonts w:hint="eastAsia" w:ascii="宋体" w:hAnsi="宋体"/>
          <w:u w:val="single"/>
          <w:lang w:val="en-US" w:eastAsia="zh-CN"/>
        </w:rPr>
        <w:t>WHXX20210606SBYSFSK</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熟白云石粉、石块</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宋体" w:hAnsi="宋体"/>
          <w:kern w:val="2"/>
          <w:sz w:val="24"/>
          <w:szCs w:val="24"/>
          <w:lang w:val="en-US" w:eastAsia="zh-CN" w:bidi="ar-SA"/>
        </w:rPr>
      </w:pPr>
      <w:r>
        <w:rPr>
          <w:rFonts w:hint="eastAsia" w:ascii="宋体" w:hAnsi="宋体"/>
          <w:kern w:val="2"/>
          <w:sz w:val="24"/>
          <w:szCs w:val="24"/>
          <w:lang w:val="en-US" w:eastAsia="zh-CN" w:bidi="ar-SA"/>
        </w:rPr>
        <w:t>联系人及电话：</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招标办：       石  宇  15255329626</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炉料部：       </w:t>
      </w:r>
      <w:r>
        <w:rPr>
          <w:rFonts w:hint="eastAsia" w:ascii="宋体" w:hAnsi="宋体" w:cs="Times New Roman"/>
          <w:kern w:val="2"/>
          <w:sz w:val="24"/>
          <w:szCs w:val="24"/>
          <w:lang w:val="en-US" w:eastAsia="zh-CN" w:bidi="ar-SA"/>
        </w:rPr>
        <w:t>蔺欢欢</w:t>
      </w:r>
      <w:r>
        <w:rPr>
          <w:rFonts w:hint="eastAsia" w:ascii="宋体" w:hAnsi="宋体" w:eastAsia="宋体" w:cs="Times New Roman"/>
          <w:kern w:val="2"/>
          <w:sz w:val="24"/>
          <w:szCs w:val="24"/>
          <w:lang w:val="en-US" w:eastAsia="zh-CN" w:bidi="ar-SA"/>
        </w:rPr>
        <w:t xml:space="preserve">    </w:t>
      </w:r>
      <w:r>
        <w:rPr>
          <w:rFonts w:hint="eastAsia" w:ascii="宋体" w:hAnsi="宋体" w:cs="Times New Roman"/>
          <w:kern w:val="2"/>
          <w:sz w:val="24"/>
          <w:szCs w:val="24"/>
          <w:lang w:val="en-US" w:eastAsia="zh-CN" w:bidi="ar-SA"/>
        </w:rPr>
        <w:t>15155307275</w:t>
      </w:r>
    </w:p>
    <w:p>
      <w:pPr>
        <w:ind w:firstLine="1320" w:firstLineChars="550"/>
        <w:rPr>
          <w:rFonts w:ascii="宋体" w:hAnsi="宋体"/>
          <w:sz w:val="24"/>
          <w:szCs w:val="24"/>
        </w:rPr>
      </w:pPr>
      <w:r>
        <w:rPr>
          <w:rFonts w:hint="eastAsia" w:ascii="宋体" w:hAnsi="宋体"/>
          <w:sz w:val="24"/>
          <w:szCs w:val="24"/>
        </w:rPr>
        <w:t xml:space="preserve">  </w:t>
      </w:r>
    </w:p>
    <w:p>
      <w:pPr>
        <w:tabs>
          <w:tab w:val="left" w:pos="840"/>
        </w:tabs>
        <w:rPr>
          <w:rFonts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6</w:t>
      </w:r>
      <w:r>
        <w:rPr>
          <w:rFonts w:hint="eastAsia" w:ascii="宋体" w:hAnsi="宋体"/>
          <w:sz w:val="24"/>
          <w:szCs w:val="24"/>
        </w:rPr>
        <w:t xml:space="preserve"> </w:t>
      </w:r>
      <w:r>
        <w:rPr>
          <w:rFonts w:ascii="宋体" w:hAnsi="宋体"/>
          <w:bCs/>
          <w:sz w:val="24"/>
          <w:szCs w:val="24"/>
        </w:rPr>
        <w:t>月</w:t>
      </w:r>
      <w:r>
        <w:rPr>
          <w:rFonts w:hint="eastAsia" w:ascii="宋体" w:hAnsi="宋体"/>
          <w:sz w:val="24"/>
          <w:szCs w:val="24"/>
          <w:u w:val="single"/>
          <w:lang w:val="en-US" w:eastAsia="zh-CN"/>
        </w:rPr>
        <w:t>10</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sz w:val="24"/>
          <w:szCs w:val="24"/>
          <w:u w:val="single"/>
          <w:lang w:val="en-US" w:eastAsia="zh-CN"/>
        </w:rPr>
        <w:t>11日</w:t>
      </w:r>
      <w:r>
        <w:rPr>
          <w:rFonts w:hint="eastAsia"/>
          <w:color w:val="2A2A2A"/>
          <w:sz w:val="24"/>
          <w:szCs w:val="24"/>
          <w:shd w:val="clear" w:color="auto" w:fill="FFFFFF"/>
          <w:lang w:val="en-US" w:eastAsia="zh-CN"/>
        </w:rPr>
        <w:t>下</w:t>
      </w:r>
      <w:r>
        <w:rPr>
          <w:rFonts w:hint="eastAsia"/>
          <w:color w:val="2A2A2A"/>
          <w:sz w:val="24"/>
          <w:szCs w:val="24"/>
          <w:shd w:val="clear" w:color="auto" w:fill="FFFFFF"/>
        </w:rPr>
        <w:t>午</w:t>
      </w:r>
      <w:r>
        <w:rPr>
          <w:rFonts w:hint="eastAsia"/>
          <w:color w:val="2A2A2A"/>
          <w:sz w:val="24"/>
          <w:szCs w:val="24"/>
          <w:u w:val="single"/>
          <w:shd w:val="clear" w:color="auto" w:fill="FFFFFF"/>
          <w:lang w:val="en-US" w:eastAsia="zh-CN"/>
        </w:rPr>
        <w:t>15:30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val="en-US" w:eastAsia="zh-CN"/>
        </w:rPr>
        <w:t>壹拾万</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lang w:val="en-US" w:eastAsia="zh-CN"/>
        </w:rPr>
        <w:t>6</w:t>
      </w:r>
      <w:r>
        <w:rPr>
          <w:rFonts w:hint="eastAsia" w:ascii="宋体" w:hAnsi="宋体"/>
          <w:bCs/>
          <w:color w:val="7030A0"/>
          <w:sz w:val="24"/>
          <w:szCs w:val="24"/>
        </w:rPr>
        <w:t>月</w:t>
      </w:r>
      <w:r>
        <w:rPr>
          <w:rFonts w:hint="eastAsia" w:ascii="宋体" w:hAnsi="宋体"/>
          <w:sz w:val="24"/>
          <w:szCs w:val="24"/>
          <w:lang w:val="en-US" w:eastAsia="zh-CN"/>
        </w:rPr>
        <w:t>10</w:t>
      </w:r>
      <w:r>
        <w:rPr>
          <w:rFonts w:hint="eastAsia" w:ascii="宋体" w:hAnsi="宋体"/>
          <w:bCs/>
          <w:color w:val="7030A0"/>
          <w:sz w:val="24"/>
          <w:szCs w:val="24"/>
        </w:rPr>
        <w:t>日</w:t>
      </w:r>
      <w:r>
        <w:rPr>
          <w:rFonts w:hint="eastAsia" w:ascii="宋体" w:hAnsi="宋体"/>
          <w:sz w:val="24"/>
          <w:szCs w:val="24"/>
          <w:lang w:val="en-US" w:eastAsia="zh-CN"/>
        </w:rPr>
        <w:t>16</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ind w:left="1125" w:leftChars="0" w:hanging="705" w:firstLineChars="0"/>
        <w:rPr>
          <w:rFonts w:hint="eastAsia"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ind w:left="1125" w:leftChars="0" w:hanging="705" w:firstLineChars="0"/>
        <w:rPr>
          <w:rFonts w:hint="eastAsia"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ind w:left="480"/>
        <w:rPr>
          <w:rFonts w:hint="default" w:ascii="宋体" w:hAnsi="宋体" w:eastAsia="宋体"/>
          <w:color w:val="FF0000"/>
          <w:sz w:val="24"/>
          <w:szCs w:val="24"/>
          <w:lang w:val="en-US" w:eastAsia="zh-CN"/>
        </w:rPr>
      </w:pPr>
      <w:r>
        <w:rPr>
          <w:rFonts w:hint="eastAsia" w:ascii="宋体" w:hAnsi="宋体"/>
          <w:color w:val="FF0000"/>
          <w:sz w:val="24"/>
          <w:szCs w:val="24"/>
          <w:lang w:val="en-US" w:eastAsia="zh-CN"/>
        </w:rPr>
        <w:t>3 .标书需要胶装。</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w:t>
      </w:r>
      <w:r>
        <w:rPr>
          <w:rFonts w:hint="eastAsia" w:ascii="宋体" w:hAnsi="宋体"/>
          <w:sz w:val="24"/>
          <w:szCs w:val="24"/>
          <w:lang w:val="en-US" w:eastAsia="zh-CN"/>
        </w:rPr>
        <w:t>承兑结算</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spacing w:line="360" w:lineRule="auto"/>
        <w:ind w:firstLine="720" w:firstLineChars="300"/>
        <w:rPr>
          <w:rFonts w:hint="eastAsia" w:ascii="宋体" w:hAnsi="宋体"/>
          <w:sz w:val="24"/>
          <w:szCs w:val="24"/>
        </w:rPr>
      </w:pPr>
      <w:r>
        <w:rPr>
          <w:rFonts w:hint="eastAsia" w:ascii="宋体" w:hAnsi="宋体"/>
          <w:sz w:val="24"/>
          <w:szCs w:val="24"/>
        </w:rPr>
        <w:t>本次招标以价格作为评标依据。</w:t>
      </w:r>
    </w:p>
    <w:p>
      <w:pPr>
        <w:spacing w:line="360" w:lineRule="auto"/>
        <w:ind w:firstLine="720" w:firstLineChars="300"/>
        <w:rPr>
          <w:b/>
        </w:rPr>
      </w:pPr>
      <w:r>
        <w:rPr>
          <w:rFonts w:hint="eastAsia" w:ascii="宋体" w:hAnsi="宋体"/>
          <w:sz w:val="24"/>
          <w:szCs w:val="24"/>
        </w:rPr>
        <w:t>由评标委员会在保证供应量（110%左右）的前提下，按照价格由低到高的顺序来推荐中标候选人。</w:t>
      </w:r>
    </w:p>
    <w:p>
      <w:pPr>
        <w:rPr>
          <w:b/>
        </w:rPr>
      </w:pPr>
    </w:p>
    <w:p>
      <w:pPr>
        <w:numPr>
          <w:ilvl w:val="0"/>
          <w:numId w:val="7"/>
        </w:numPr>
        <w:rPr>
          <w:b/>
          <w:sz w:val="24"/>
          <w:szCs w:val="24"/>
        </w:rPr>
      </w:pPr>
      <w:r>
        <w:rPr>
          <w:rFonts w:hint="eastAsia"/>
          <w:b/>
          <w:sz w:val="24"/>
          <w:szCs w:val="24"/>
        </w:rPr>
        <w:t>其他要求</w:t>
      </w:r>
    </w:p>
    <w:p>
      <w:pPr>
        <w:spacing w:line="360" w:lineRule="auto"/>
        <w:ind w:firstLine="562" w:firstLineChars="200"/>
        <w:rPr>
          <w:rFonts w:hint="eastAsia" w:ascii="宋体" w:hAnsi="宋体" w:eastAsia="宋体"/>
          <w:b/>
          <w:color w:val="FF0000"/>
          <w:sz w:val="28"/>
          <w:szCs w:val="28"/>
          <w:lang w:eastAsia="zh-CN"/>
        </w:rPr>
      </w:pPr>
      <w:r>
        <w:rPr>
          <w:rFonts w:hint="eastAsia" w:ascii="宋体" w:hAnsi="宋体"/>
          <w:b/>
          <w:color w:val="FF0000"/>
          <w:sz w:val="28"/>
          <w:szCs w:val="28"/>
        </w:rPr>
        <w:t>1、满足附件质量标准要求。</w:t>
      </w:r>
      <w:r>
        <w:rPr>
          <w:rFonts w:hint="eastAsia" w:ascii="宋体" w:hAnsi="宋体"/>
          <w:b/>
          <w:color w:val="FF0000"/>
          <w:sz w:val="28"/>
          <w:szCs w:val="28"/>
          <w:lang w:eastAsia="zh-CN"/>
        </w:rPr>
        <w:t>本次招标分熟白云石粉和熟白云石块两个标段。</w:t>
      </w:r>
    </w:p>
    <w:p>
      <w:pPr>
        <w:spacing w:line="360" w:lineRule="auto"/>
        <w:ind w:firstLine="562" w:firstLineChars="200"/>
        <w:rPr>
          <w:rFonts w:hint="eastAsia" w:ascii="宋体" w:hAnsi="宋体"/>
          <w:b/>
          <w:color w:val="FF0000"/>
          <w:sz w:val="28"/>
          <w:szCs w:val="28"/>
          <w:lang w:val="en-US" w:eastAsia="zh-CN"/>
        </w:rPr>
      </w:pPr>
      <w:r>
        <w:rPr>
          <w:rFonts w:hint="eastAsia" w:ascii="宋体" w:hAnsi="宋体"/>
          <w:b/>
          <w:color w:val="FF0000"/>
          <w:sz w:val="28"/>
          <w:szCs w:val="28"/>
        </w:rPr>
        <w:t>2、此次招标招三个月的供货量，其中熟白云石粉理论上需求量约为</w:t>
      </w:r>
      <w:r>
        <w:rPr>
          <w:rFonts w:hint="eastAsia" w:ascii="宋体" w:hAnsi="宋体"/>
          <w:b/>
          <w:color w:val="FF0000"/>
          <w:sz w:val="28"/>
          <w:szCs w:val="28"/>
          <w:lang w:val="en-US" w:eastAsia="zh-CN"/>
        </w:rPr>
        <w:t>20</w:t>
      </w:r>
      <w:r>
        <w:rPr>
          <w:rFonts w:hint="eastAsia" w:ascii="宋体" w:hAnsi="宋体"/>
          <w:b/>
          <w:color w:val="FF0000"/>
          <w:sz w:val="28"/>
          <w:szCs w:val="28"/>
        </w:rPr>
        <w:t>000吨/月；熟白云石块理论上需求量约为</w:t>
      </w:r>
      <w:r>
        <w:rPr>
          <w:rFonts w:hint="eastAsia" w:ascii="宋体" w:hAnsi="宋体"/>
          <w:b/>
          <w:color w:val="FF0000"/>
          <w:sz w:val="28"/>
          <w:szCs w:val="28"/>
          <w:lang w:val="en-US" w:eastAsia="zh-CN"/>
        </w:rPr>
        <w:t>18</w:t>
      </w:r>
      <w:r>
        <w:rPr>
          <w:rFonts w:hint="eastAsia" w:ascii="宋体" w:hAnsi="宋体"/>
          <w:b/>
          <w:color w:val="FF0000"/>
          <w:sz w:val="28"/>
          <w:szCs w:val="28"/>
        </w:rPr>
        <w:t>00吨/月。按照单吨价报价，并注明相应的供应数量。</w:t>
      </w:r>
    </w:p>
    <w:p>
      <w:pPr>
        <w:spacing w:line="360" w:lineRule="auto"/>
        <w:ind w:firstLine="562" w:firstLineChars="200"/>
        <w:rPr>
          <w:rFonts w:hint="eastAsia" w:ascii="宋体" w:hAnsi="宋体"/>
          <w:b/>
          <w:color w:val="FF0000"/>
          <w:sz w:val="28"/>
          <w:szCs w:val="28"/>
        </w:rPr>
      </w:pPr>
      <w:r>
        <w:rPr>
          <w:rFonts w:hint="eastAsia" w:ascii="宋体" w:hAnsi="宋体"/>
          <w:b/>
          <w:color w:val="FF0000"/>
          <w:sz w:val="28"/>
          <w:szCs w:val="28"/>
          <w:lang w:val="en-US" w:eastAsia="zh-CN"/>
        </w:rPr>
        <w:t>3</w:t>
      </w:r>
      <w:r>
        <w:rPr>
          <w:rFonts w:hint="eastAsia" w:ascii="宋体" w:hAnsi="宋体"/>
          <w:b/>
          <w:color w:val="FF0000"/>
          <w:sz w:val="28"/>
          <w:szCs w:val="28"/>
        </w:rPr>
        <w:t>、报价含税含运费，一票结算。具体报价格式见附件清单。</w:t>
      </w:r>
    </w:p>
    <w:p>
      <w:pPr>
        <w:spacing w:line="360" w:lineRule="auto"/>
        <w:ind w:firstLine="562" w:firstLineChars="200"/>
        <w:rPr>
          <w:rFonts w:hint="eastAsia"/>
          <w:b/>
          <w:bCs w:val="0"/>
          <w:color w:val="FF0000"/>
          <w:sz w:val="28"/>
          <w:szCs w:val="28"/>
          <w:lang w:val="en-US" w:eastAsia="zh-CN"/>
        </w:rPr>
      </w:pPr>
      <w:r>
        <w:rPr>
          <w:rFonts w:hint="eastAsia" w:ascii="宋体" w:hAnsi="宋体"/>
          <w:b/>
          <w:color w:val="FF0000"/>
          <w:sz w:val="28"/>
          <w:szCs w:val="28"/>
          <w:lang w:val="en-US" w:eastAsia="zh-CN"/>
        </w:rPr>
        <w:t>5、本次</w:t>
      </w:r>
      <w:r>
        <w:rPr>
          <w:rFonts w:hint="eastAsia" w:ascii="宋体" w:hAnsi="宋体"/>
          <w:b/>
          <w:color w:val="FF0000"/>
          <w:sz w:val="28"/>
          <w:szCs w:val="28"/>
        </w:rPr>
        <w:t>招标项目</w:t>
      </w:r>
      <w:r>
        <w:rPr>
          <w:rFonts w:hint="eastAsia"/>
          <w:b/>
          <w:bCs w:val="0"/>
          <w:color w:val="FF0000"/>
          <w:sz w:val="28"/>
          <w:szCs w:val="28"/>
          <w:lang w:val="en-US" w:eastAsia="zh-CN"/>
        </w:rPr>
        <w:t>最高投标限价为：</w:t>
      </w:r>
      <w:r>
        <w:rPr>
          <w:rFonts w:hint="eastAsia" w:ascii="宋体" w:hAnsi="宋体"/>
          <w:b/>
          <w:color w:val="FF0000"/>
          <w:sz w:val="28"/>
          <w:szCs w:val="28"/>
          <w:lang w:eastAsia="zh-CN"/>
        </w:rPr>
        <w:t>熟白云石粉</w:t>
      </w:r>
      <w:r>
        <w:rPr>
          <w:rFonts w:hint="eastAsia"/>
          <w:b/>
          <w:bCs w:val="0"/>
          <w:color w:val="FF0000"/>
          <w:sz w:val="28"/>
          <w:szCs w:val="28"/>
          <w:lang w:val="en-US" w:eastAsia="zh-CN"/>
        </w:rPr>
        <w:t>450元/吨（大写：肆佰伍拾元每吨），</w:t>
      </w:r>
      <w:r>
        <w:rPr>
          <w:rFonts w:hint="eastAsia" w:ascii="宋体" w:hAnsi="宋体"/>
          <w:b/>
          <w:color w:val="FF0000"/>
          <w:sz w:val="28"/>
          <w:szCs w:val="28"/>
          <w:lang w:eastAsia="zh-CN"/>
        </w:rPr>
        <w:t>熟白云石块</w:t>
      </w:r>
      <w:r>
        <w:rPr>
          <w:rFonts w:hint="eastAsia" w:ascii="宋体" w:hAnsi="宋体"/>
          <w:b/>
          <w:color w:val="FF0000"/>
          <w:sz w:val="28"/>
          <w:szCs w:val="28"/>
          <w:lang w:val="en-US" w:eastAsia="zh-CN"/>
        </w:rPr>
        <w:t>530元/吨（伍佰叁拾元/吨）。</w:t>
      </w:r>
      <w:r>
        <w:rPr>
          <w:rFonts w:hint="eastAsia"/>
          <w:b/>
          <w:bCs w:val="0"/>
          <w:color w:val="FF0000"/>
          <w:sz w:val="28"/>
          <w:szCs w:val="28"/>
          <w:lang w:val="en-US" w:eastAsia="zh-CN"/>
        </w:rPr>
        <w:t>报价高于此最高投标限价的作废标处理。</w:t>
      </w:r>
    </w:p>
    <w:p>
      <w:pPr>
        <w:spacing w:line="360" w:lineRule="auto"/>
        <w:ind w:firstLine="560" w:firstLineChars="200"/>
        <w:rPr>
          <w:rFonts w:hint="eastAsia" w:ascii="宋体" w:hAnsi="宋体"/>
          <w:color w:val="FF0000"/>
          <w:sz w:val="28"/>
          <w:szCs w:val="28"/>
          <w:lang w:val="en-US" w:eastAsia="zh-CN"/>
        </w:rPr>
      </w:pPr>
    </w:p>
    <w:p>
      <w:pPr>
        <w:spacing w:line="360" w:lineRule="auto"/>
        <w:ind w:firstLine="560" w:firstLineChars="200"/>
        <w:rPr>
          <w:rFonts w:hint="eastAsia" w:ascii="宋体" w:hAnsi="宋体"/>
          <w:color w:val="FF0000"/>
          <w:sz w:val="28"/>
          <w:szCs w:val="28"/>
          <w:lang w:val="en-US" w:eastAsia="zh-CN"/>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rPr>
        <w:t xml:space="preserve"> </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w:t>
      </w:r>
    </w:p>
    <w:p>
      <w:pPr>
        <w:tabs>
          <w:tab w:val="left" w:pos="420"/>
          <w:tab w:val="left" w:pos="630"/>
        </w:tabs>
        <w:spacing w:line="300" w:lineRule="auto"/>
        <w:ind w:firstLine="105" w:firstLineChars="50"/>
        <w:jc w:val="center"/>
        <w:rPr>
          <w:rFonts w:ascii="宋体" w:hAnsi="宋体" w:cs="宋体"/>
          <w:b/>
          <w:bCs/>
          <w:sz w:val="28"/>
          <w:szCs w:val="28"/>
          <w:highlight w:val="yellow"/>
        </w:rPr>
      </w:pPr>
      <w:r>
        <w:rPr>
          <w: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-32385</wp:posOffset>
                </wp:positionV>
                <wp:extent cx="1028700" cy="891540"/>
                <wp:effectExtent l="0" t="0" r="0" b="3810"/>
                <wp:wrapNone/>
                <wp:docPr id="3" name="文本框 2"/>
                <wp:cNvGraphicFramePr/>
                <a:graphic xmlns:a="http://schemas.openxmlformats.org/drawingml/2006/main">
                  <a:graphicData uri="http://schemas.microsoft.com/office/word/2010/wordprocessingShape">
                    <wps:wsp>
                      <wps:cNvSpPr txBox="1"/>
                      <wps:spPr>
                        <a:xfrm>
                          <a:off x="0" y="0"/>
                          <a:ext cx="1028700" cy="891540"/>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0pt;margin-top:-2.55pt;height:70.2pt;width:81pt;z-index:251660288;mso-width-relative:page;mso-height-relative:page;" fillcolor="#FFFFFF" filled="t" stroked="f" coordsize="21600,21600" o:gfxdata="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C3wZLWAAAABwEAAA8AAAAAAAAAAQAgAAAAIgAAAGRycy9kb3ducmV2Lnht&#10;bFBLAQIUABQAAAAIAIdO4kBTPubuwgEAAHcDAAAOAAAAAAAAAAEAIAAAACUBAABkcnMvZTJvRG9j&#10;LnhtbFBLBQYAAAAABgAGAFkBAABZBQAAAAA=&#10;">
                <v:fill on="t" focussize="0,0"/>
                <v:stroke on="f"/>
                <v:imagedata o:title=""/>
                <o:lock v:ext="edit" aspectratio="f"/>
                <v:textbox>
                  <w:txbxContent>
                    <w:p/>
                  </w:txbxContent>
                </v:textbox>
              </v:shape>
            </w:pict>
          </mc:Fallback>
        </mc:AlternateContent>
      </w:r>
    </w:p>
    <w:p>
      <w:pPr>
        <w:pStyle w:val="21"/>
        <w:snapToGrid w:val="0"/>
        <w:spacing w:line="480" w:lineRule="auto"/>
        <w:rPr>
          <w:rFonts w:hint="eastAsia"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7" o:spt="75" type="#_x0000_t75" style="position:absolute;left:0pt;margin-left:20.05pt;margin-top:-11.5pt;height:50.25pt;width:55pt;mso-wrap-distance-left:9pt;mso-wrap-distance-right:9pt;z-index:-251655168;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widowControl/>
        <w:shd w:val="clear" w:color="auto" w:fill="FFFFFF"/>
        <w:spacing w:line="360" w:lineRule="auto"/>
        <w:ind w:firstLine="4480" w:firstLineChars="1600"/>
        <w:jc w:val="left"/>
        <w:rPr>
          <w:rFonts w:hint="eastAsia" w:ascii="仿宋_GB2312" w:eastAsia="仿宋_GB2312"/>
          <w:sz w:val="28"/>
          <w:szCs w:val="28"/>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合作单位不得以现金或等同于现金之礼品或回扣、返点等任何不正当手段违规获取业务资格、谋取其他不正当利益，一经查实，公司有权采取以下行为：</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公司对贿赂款项予以没收，同时按不低于 10 倍贿赂金额的标准对行贿单位进行商业贿赂违约追偿；</w:t>
      </w:r>
    </w:p>
    <w:p>
      <w:pPr>
        <w:pStyle w:val="3"/>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lang w:val="en-US" w:eastAsia="zh-CN"/>
        </w:rPr>
        <w:t>熟白云石粉、石块</w:t>
      </w:r>
      <w:r>
        <w:rPr>
          <w:rFonts w:hint="eastAsia"/>
          <w:color w:val="FF0000"/>
          <w:sz w:val="28"/>
          <w:szCs w:val="28"/>
          <w:u w:val="single"/>
          <w:lang w:val="en-US" w:eastAsia="zh-CN"/>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59264;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pStyle w:val="2"/>
        <w:widowControl/>
        <w:rPr>
          <w:b w:val="0"/>
          <w:bCs/>
          <w:sz w:val="28"/>
          <w:szCs w:val="28"/>
        </w:rPr>
      </w:pPr>
      <w:r>
        <w:rPr>
          <w:b w:val="0"/>
          <w:bCs/>
          <w:sz w:val="28"/>
          <w:szCs w:val="28"/>
        </w:rPr>
        <w:t>附件5</w:t>
      </w:r>
    </w:p>
    <w:p>
      <w:pPr>
        <w:widowControl/>
        <w:shd w:val="clear" w:color="auto" w:fill="FFFFFF"/>
        <w:spacing w:line="600" w:lineRule="atLeast"/>
        <w:jc w:val="left"/>
        <w:rPr>
          <w:rFonts w:hint="eastAsia" w:ascii="宋体" w:hAnsi="宋体" w:cs="宋体"/>
          <w:b/>
          <w:bCs/>
          <w:color w:val="FF0000"/>
          <w:kern w:val="0"/>
          <w:sz w:val="24"/>
          <w:szCs w:val="24"/>
        </w:rPr>
      </w:pPr>
      <w:r>
        <w:rPr>
          <w:rFonts w:hint="eastAsia" w:ascii="宋体" w:hAnsi="宋体" w:cs="宋体"/>
          <w:b/>
          <w:bCs/>
          <w:color w:val="FF0000"/>
          <w:kern w:val="0"/>
          <w:sz w:val="24"/>
          <w:szCs w:val="24"/>
        </w:rPr>
        <w:t>报价方式见下表：</w:t>
      </w:r>
    </w:p>
    <w:p>
      <w:pPr>
        <w:jc w:val="center"/>
        <w:rPr>
          <w:rFonts w:hint="eastAsia"/>
          <w:sz w:val="44"/>
          <w:szCs w:val="44"/>
        </w:rPr>
      </w:pPr>
      <w:r>
        <w:rPr>
          <w:rFonts w:hint="eastAsia"/>
          <w:sz w:val="44"/>
          <w:szCs w:val="44"/>
        </w:rPr>
        <w:t>报价统一格式</w:t>
      </w:r>
    </w:p>
    <w:tbl>
      <w:tblPr>
        <w:tblStyle w:val="10"/>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210"/>
        <w:gridCol w:w="1765"/>
        <w:gridCol w:w="384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338" w:type="pct"/>
            <w:noWrap w:val="0"/>
            <w:vAlign w:val="center"/>
          </w:tcPr>
          <w:p>
            <w:pPr>
              <w:jc w:val="center"/>
              <w:rPr>
                <w:rFonts w:hint="eastAsia"/>
                <w:sz w:val="18"/>
                <w:szCs w:val="18"/>
              </w:rPr>
            </w:pPr>
            <w:r>
              <w:rPr>
                <w:rFonts w:hint="eastAsia"/>
                <w:sz w:val="18"/>
                <w:szCs w:val="18"/>
              </w:rPr>
              <w:t>序号</w:t>
            </w:r>
          </w:p>
        </w:tc>
        <w:tc>
          <w:tcPr>
            <w:tcW w:w="691" w:type="pct"/>
            <w:noWrap w:val="0"/>
            <w:vAlign w:val="center"/>
          </w:tcPr>
          <w:p>
            <w:pPr>
              <w:jc w:val="center"/>
              <w:rPr>
                <w:rFonts w:hint="eastAsia"/>
                <w:sz w:val="18"/>
                <w:szCs w:val="18"/>
              </w:rPr>
            </w:pPr>
            <w:r>
              <w:rPr>
                <w:rFonts w:hint="eastAsia"/>
                <w:sz w:val="18"/>
                <w:szCs w:val="18"/>
              </w:rPr>
              <w:t>物资名称</w:t>
            </w:r>
          </w:p>
        </w:tc>
        <w:tc>
          <w:tcPr>
            <w:tcW w:w="1008" w:type="pct"/>
            <w:noWrap w:val="0"/>
            <w:vAlign w:val="center"/>
          </w:tcPr>
          <w:p>
            <w:pPr>
              <w:jc w:val="center"/>
              <w:rPr>
                <w:rFonts w:hint="eastAsia"/>
                <w:sz w:val="18"/>
                <w:szCs w:val="18"/>
              </w:rPr>
            </w:pPr>
            <w:r>
              <w:rPr>
                <w:rFonts w:hint="eastAsia"/>
                <w:sz w:val="18"/>
                <w:szCs w:val="18"/>
                <w:lang w:val="en-US" w:eastAsia="zh-CN"/>
              </w:rPr>
              <w:t>三</w:t>
            </w:r>
            <w:r>
              <w:rPr>
                <w:rFonts w:hint="eastAsia"/>
                <w:sz w:val="18"/>
                <w:szCs w:val="18"/>
              </w:rPr>
              <w:t>个月理论要求数量</w:t>
            </w:r>
          </w:p>
        </w:tc>
        <w:tc>
          <w:tcPr>
            <w:tcW w:w="2193" w:type="pct"/>
            <w:noWrap w:val="0"/>
            <w:vAlign w:val="center"/>
          </w:tcPr>
          <w:p>
            <w:pPr>
              <w:jc w:val="center"/>
              <w:rPr>
                <w:rFonts w:hint="eastAsia"/>
                <w:sz w:val="18"/>
                <w:szCs w:val="18"/>
              </w:rPr>
            </w:pPr>
            <w:r>
              <w:rPr>
                <w:rFonts w:hint="eastAsia"/>
                <w:sz w:val="18"/>
                <w:szCs w:val="18"/>
              </w:rPr>
              <w:t>含税、含运费报价（元/吨）</w:t>
            </w:r>
          </w:p>
        </w:tc>
        <w:tc>
          <w:tcPr>
            <w:tcW w:w="768" w:type="pct"/>
            <w:noWrap w:val="0"/>
            <w:vAlign w:val="center"/>
          </w:tcPr>
          <w:p>
            <w:pPr>
              <w:jc w:val="center"/>
              <w:rPr>
                <w:rFonts w:hint="eastAsia"/>
                <w:sz w:val="18"/>
                <w:szCs w:val="18"/>
              </w:rPr>
            </w:pPr>
            <w:r>
              <w:rPr>
                <w:rFonts w:hint="eastAsia"/>
                <w:sz w:val="18"/>
                <w:szCs w:val="18"/>
              </w:rPr>
              <w:t>供应量（吨</w:t>
            </w:r>
            <w:r>
              <w:rPr>
                <w:rFonts w:hint="eastAsia"/>
                <w:sz w:val="18"/>
                <w:szCs w:val="18"/>
                <w:lang w:val="en-US" w:eastAsia="zh-CN"/>
              </w:rPr>
              <w:t>/月</w:t>
            </w:r>
            <w:r>
              <w:rPr>
                <w:rFonts w:hint="eastAsia"/>
                <w:sz w:val="18"/>
                <w:szCs w:val="18"/>
              </w:rPr>
              <w:t>）</w:t>
            </w:r>
          </w:p>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38" w:type="pct"/>
            <w:vMerge w:val="restart"/>
            <w:noWrap w:val="0"/>
            <w:vAlign w:val="center"/>
          </w:tcPr>
          <w:p>
            <w:pPr>
              <w:jc w:val="center"/>
              <w:rPr>
                <w:sz w:val="24"/>
                <w:szCs w:val="24"/>
              </w:rPr>
            </w:pPr>
            <w:r>
              <w:rPr>
                <w:rFonts w:hint="eastAsia"/>
                <w:sz w:val="24"/>
                <w:szCs w:val="24"/>
              </w:rPr>
              <w:t>1</w:t>
            </w:r>
          </w:p>
        </w:tc>
        <w:tc>
          <w:tcPr>
            <w:tcW w:w="691" w:type="pct"/>
            <w:vMerge w:val="restart"/>
            <w:noWrap w:val="0"/>
            <w:vAlign w:val="center"/>
          </w:tcPr>
          <w:p>
            <w:pPr>
              <w:jc w:val="center"/>
              <w:rPr>
                <w:rFonts w:hint="eastAsia"/>
                <w:sz w:val="24"/>
                <w:szCs w:val="24"/>
              </w:rPr>
            </w:pPr>
            <w:r>
              <w:rPr>
                <w:rFonts w:hint="eastAsia" w:ascii="宋体" w:hAnsi="宋体"/>
                <w:b/>
                <w:color w:val="000000"/>
                <w:sz w:val="28"/>
                <w:szCs w:val="28"/>
              </w:rPr>
              <w:t>熟白云石粉</w:t>
            </w:r>
          </w:p>
        </w:tc>
        <w:tc>
          <w:tcPr>
            <w:tcW w:w="1008" w:type="pct"/>
            <w:vMerge w:val="restart"/>
            <w:noWrap w:val="0"/>
            <w:vAlign w:val="center"/>
          </w:tcPr>
          <w:p>
            <w:pPr>
              <w:jc w:val="center"/>
              <w:rPr>
                <w:rFonts w:hint="eastAsia" w:eastAsia="宋体"/>
                <w:sz w:val="24"/>
                <w:szCs w:val="24"/>
                <w:lang w:val="en-US" w:eastAsia="zh-CN"/>
              </w:rPr>
            </w:pPr>
            <w:r>
              <w:rPr>
                <w:rFonts w:hint="eastAsia" w:ascii="宋体" w:hAnsi="宋体"/>
                <w:b/>
                <w:color w:val="FF0000"/>
                <w:sz w:val="24"/>
                <w:szCs w:val="24"/>
              </w:rPr>
              <w:t>约</w:t>
            </w:r>
            <w:r>
              <w:rPr>
                <w:rFonts w:hint="eastAsia" w:ascii="宋体" w:hAnsi="宋体"/>
                <w:b/>
                <w:color w:val="FF0000"/>
                <w:sz w:val="24"/>
                <w:szCs w:val="24"/>
                <w:lang w:val="en-US" w:eastAsia="zh-CN"/>
              </w:rPr>
              <w:t>20000</w:t>
            </w:r>
            <w:r>
              <w:rPr>
                <w:rFonts w:hint="eastAsia" w:ascii="宋体" w:hAnsi="宋体"/>
                <w:b/>
                <w:color w:val="FF0000"/>
                <w:sz w:val="24"/>
                <w:szCs w:val="24"/>
              </w:rPr>
              <w:t>吨</w:t>
            </w:r>
            <w:r>
              <w:rPr>
                <w:rFonts w:hint="eastAsia" w:ascii="宋体" w:hAnsi="宋体"/>
                <w:b/>
                <w:color w:val="FF0000"/>
                <w:sz w:val="24"/>
                <w:szCs w:val="24"/>
                <w:lang w:val="en-US" w:eastAsia="zh-CN"/>
              </w:rPr>
              <w:t>/月</w:t>
            </w:r>
          </w:p>
        </w:tc>
        <w:tc>
          <w:tcPr>
            <w:tcW w:w="2193" w:type="pct"/>
            <w:noWrap w:val="0"/>
            <w:vAlign w:val="top"/>
          </w:tcPr>
          <w:p>
            <w:pPr>
              <w:jc w:val="left"/>
              <w:rPr>
                <w:rFonts w:hint="eastAsia"/>
                <w:sz w:val="24"/>
                <w:szCs w:val="24"/>
              </w:rPr>
            </w:pPr>
          </w:p>
          <w:p>
            <w:pPr>
              <w:jc w:val="left"/>
              <w:rPr>
                <w:rFonts w:hint="eastAsia"/>
                <w:sz w:val="24"/>
                <w:szCs w:val="24"/>
              </w:rPr>
            </w:pPr>
            <w:r>
              <w:rPr>
                <w:rFonts w:hint="eastAsia"/>
                <w:sz w:val="24"/>
                <w:szCs w:val="24"/>
              </w:rPr>
              <w:t>小写：</w:t>
            </w:r>
          </w:p>
        </w:tc>
        <w:tc>
          <w:tcPr>
            <w:tcW w:w="768" w:type="pct"/>
            <w:vMerge w:val="restart"/>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8" w:type="pct"/>
            <w:vMerge w:val="continue"/>
            <w:noWrap w:val="0"/>
            <w:vAlign w:val="center"/>
          </w:tcPr>
          <w:p>
            <w:pPr>
              <w:jc w:val="center"/>
              <w:rPr>
                <w:rFonts w:hint="eastAsia"/>
                <w:sz w:val="24"/>
                <w:szCs w:val="24"/>
              </w:rPr>
            </w:pPr>
          </w:p>
        </w:tc>
        <w:tc>
          <w:tcPr>
            <w:tcW w:w="691" w:type="pct"/>
            <w:vMerge w:val="continue"/>
            <w:noWrap w:val="0"/>
            <w:vAlign w:val="center"/>
          </w:tcPr>
          <w:p>
            <w:pPr>
              <w:jc w:val="center"/>
              <w:rPr>
                <w:rFonts w:hint="eastAsia" w:ascii="宋体" w:hAnsi="宋体"/>
                <w:b/>
                <w:color w:val="000000"/>
                <w:sz w:val="24"/>
                <w:szCs w:val="24"/>
              </w:rPr>
            </w:pPr>
          </w:p>
        </w:tc>
        <w:tc>
          <w:tcPr>
            <w:tcW w:w="1008" w:type="pct"/>
            <w:vMerge w:val="continue"/>
            <w:noWrap w:val="0"/>
            <w:vAlign w:val="center"/>
          </w:tcPr>
          <w:p>
            <w:pPr>
              <w:jc w:val="center"/>
              <w:rPr>
                <w:rFonts w:hint="eastAsia"/>
                <w:sz w:val="24"/>
                <w:szCs w:val="24"/>
              </w:rPr>
            </w:pPr>
          </w:p>
        </w:tc>
        <w:tc>
          <w:tcPr>
            <w:tcW w:w="2193" w:type="pct"/>
            <w:noWrap w:val="0"/>
            <w:vAlign w:val="top"/>
          </w:tcPr>
          <w:p>
            <w:pPr>
              <w:jc w:val="left"/>
              <w:rPr>
                <w:rFonts w:hint="eastAsia"/>
                <w:sz w:val="24"/>
                <w:szCs w:val="24"/>
              </w:rPr>
            </w:pPr>
          </w:p>
          <w:p>
            <w:pPr>
              <w:jc w:val="left"/>
              <w:rPr>
                <w:rFonts w:hint="eastAsia"/>
                <w:sz w:val="24"/>
                <w:szCs w:val="24"/>
              </w:rPr>
            </w:pPr>
            <w:r>
              <w:rPr>
                <w:rFonts w:hint="eastAsia"/>
                <w:sz w:val="24"/>
                <w:szCs w:val="24"/>
              </w:rPr>
              <w:t>大写：</w:t>
            </w:r>
          </w:p>
        </w:tc>
        <w:tc>
          <w:tcPr>
            <w:tcW w:w="768" w:type="pct"/>
            <w:vMerge w:val="continue"/>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8" w:type="pct"/>
            <w:vMerge w:val="restart"/>
            <w:noWrap w:val="0"/>
            <w:vAlign w:val="center"/>
          </w:tcPr>
          <w:p>
            <w:pPr>
              <w:jc w:val="center"/>
              <w:rPr>
                <w:rFonts w:hint="eastAsia"/>
                <w:sz w:val="24"/>
                <w:szCs w:val="24"/>
              </w:rPr>
            </w:pPr>
            <w:r>
              <w:rPr>
                <w:rFonts w:hint="eastAsia"/>
                <w:sz w:val="24"/>
                <w:szCs w:val="24"/>
              </w:rPr>
              <w:t>2</w:t>
            </w:r>
          </w:p>
        </w:tc>
        <w:tc>
          <w:tcPr>
            <w:tcW w:w="691" w:type="pct"/>
            <w:vMerge w:val="restart"/>
            <w:noWrap w:val="0"/>
            <w:vAlign w:val="center"/>
          </w:tcPr>
          <w:p>
            <w:pPr>
              <w:jc w:val="center"/>
              <w:rPr>
                <w:rFonts w:hint="eastAsia" w:ascii="宋体" w:hAnsi="宋体"/>
                <w:b/>
                <w:color w:val="000000"/>
                <w:sz w:val="24"/>
                <w:szCs w:val="24"/>
              </w:rPr>
            </w:pPr>
            <w:r>
              <w:rPr>
                <w:rFonts w:hint="eastAsia" w:ascii="宋体" w:hAnsi="宋体"/>
                <w:b/>
                <w:color w:val="000000"/>
                <w:sz w:val="28"/>
                <w:szCs w:val="28"/>
              </w:rPr>
              <w:t>熟白云石块</w:t>
            </w:r>
          </w:p>
        </w:tc>
        <w:tc>
          <w:tcPr>
            <w:tcW w:w="1008" w:type="pct"/>
            <w:vMerge w:val="restart"/>
            <w:noWrap w:val="0"/>
            <w:vAlign w:val="center"/>
          </w:tcPr>
          <w:p>
            <w:pPr>
              <w:jc w:val="center"/>
              <w:rPr>
                <w:rFonts w:hint="eastAsia" w:eastAsia="宋体"/>
                <w:sz w:val="24"/>
                <w:szCs w:val="24"/>
                <w:lang w:val="en-US" w:eastAsia="zh-CN"/>
              </w:rPr>
            </w:pPr>
            <w:r>
              <w:rPr>
                <w:rFonts w:hint="eastAsia" w:ascii="宋体" w:hAnsi="宋体"/>
                <w:b/>
                <w:color w:val="FF0000"/>
                <w:sz w:val="24"/>
                <w:szCs w:val="24"/>
              </w:rPr>
              <w:t>约</w:t>
            </w:r>
            <w:r>
              <w:rPr>
                <w:rFonts w:hint="eastAsia" w:ascii="宋体" w:hAnsi="宋体"/>
                <w:b/>
                <w:color w:val="FF0000"/>
                <w:sz w:val="24"/>
                <w:szCs w:val="24"/>
                <w:lang w:val="en-US" w:eastAsia="zh-CN"/>
              </w:rPr>
              <w:t>1</w:t>
            </w:r>
            <w:bookmarkStart w:id="0" w:name="_GoBack"/>
            <w:bookmarkEnd w:id="0"/>
            <w:r>
              <w:rPr>
                <w:rFonts w:hint="eastAsia" w:ascii="宋体" w:hAnsi="宋体"/>
                <w:b/>
                <w:color w:val="FF0000"/>
                <w:sz w:val="24"/>
                <w:szCs w:val="24"/>
                <w:lang w:val="en-US" w:eastAsia="zh-CN"/>
              </w:rPr>
              <w:t>800</w:t>
            </w:r>
            <w:r>
              <w:rPr>
                <w:rFonts w:hint="eastAsia" w:ascii="宋体" w:hAnsi="宋体"/>
                <w:b/>
                <w:color w:val="FF0000"/>
                <w:sz w:val="24"/>
                <w:szCs w:val="24"/>
              </w:rPr>
              <w:t>吨</w:t>
            </w:r>
            <w:r>
              <w:rPr>
                <w:rFonts w:hint="eastAsia" w:ascii="宋体" w:hAnsi="宋体"/>
                <w:b/>
                <w:color w:val="FF0000"/>
                <w:sz w:val="24"/>
                <w:szCs w:val="24"/>
                <w:lang w:val="en-US" w:eastAsia="zh-CN"/>
              </w:rPr>
              <w:t>/月</w:t>
            </w:r>
          </w:p>
        </w:tc>
        <w:tc>
          <w:tcPr>
            <w:tcW w:w="2193" w:type="pct"/>
            <w:noWrap w:val="0"/>
            <w:vAlign w:val="top"/>
          </w:tcPr>
          <w:p>
            <w:pPr>
              <w:jc w:val="left"/>
              <w:rPr>
                <w:rFonts w:hint="eastAsia"/>
                <w:sz w:val="24"/>
                <w:szCs w:val="24"/>
              </w:rPr>
            </w:pPr>
          </w:p>
          <w:p>
            <w:pPr>
              <w:jc w:val="left"/>
              <w:rPr>
                <w:rFonts w:hint="eastAsia"/>
                <w:sz w:val="24"/>
                <w:szCs w:val="24"/>
              </w:rPr>
            </w:pPr>
            <w:r>
              <w:rPr>
                <w:rFonts w:hint="eastAsia"/>
                <w:sz w:val="24"/>
                <w:szCs w:val="24"/>
              </w:rPr>
              <w:t>小写：</w:t>
            </w:r>
          </w:p>
        </w:tc>
        <w:tc>
          <w:tcPr>
            <w:tcW w:w="768" w:type="pct"/>
            <w:vMerge w:val="restart"/>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8" w:type="pct"/>
            <w:vMerge w:val="continue"/>
            <w:noWrap w:val="0"/>
            <w:vAlign w:val="center"/>
          </w:tcPr>
          <w:p>
            <w:pPr>
              <w:jc w:val="center"/>
              <w:rPr>
                <w:rFonts w:hint="eastAsia"/>
                <w:sz w:val="24"/>
                <w:szCs w:val="24"/>
              </w:rPr>
            </w:pPr>
          </w:p>
        </w:tc>
        <w:tc>
          <w:tcPr>
            <w:tcW w:w="691" w:type="pct"/>
            <w:vMerge w:val="continue"/>
            <w:noWrap w:val="0"/>
            <w:vAlign w:val="center"/>
          </w:tcPr>
          <w:p>
            <w:pPr>
              <w:jc w:val="center"/>
              <w:rPr>
                <w:rFonts w:hint="eastAsia" w:ascii="宋体" w:hAnsi="宋体"/>
                <w:b/>
                <w:color w:val="000000"/>
                <w:sz w:val="24"/>
                <w:szCs w:val="24"/>
              </w:rPr>
            </w:pPr>
          </w:p>
        </w:tc>
        <w:tc>
          <w:tcPr>
            <w:tcW w:w="1008" w:type="pct"/>
            <w:vMerge w:val="continue"/>
            <w:noWrap w:val="0"/>
            <w:vAlign w:val="center"/>
          </w:tcPr>
          <w:p>
            <w:pPr>
              <w:jc w:val="center"/>
              <w:rPr>
                <w:rFonts w:hint="eastAsia"/>
                <w:sz w:val="24"/>
                <w:szCs w:val="24"/>
              </w:rPr>
            </w:pPr>
          </w:p>
        </w:tc>
        <w:tc>
          <w:tcPr>
            <w:tcW w:w="2193" w:type="pct"/>
            <w:noWrap w:val="0"/>
            <w:vAlign w:val="top"/>
          </w:tcPr>
          <w:p>
            <w:pPr>
              <w:jc w:val="left"/>
              <w:rPr>
                <w:rFonts w:hint="eastAsia"/>
                <w:sz w:val="24"/>
                <w:szCs w:val="24"/>
              </w:rPr>
            </w:pPr>
          </w:p>
          <w:p>
            <w:pPr>
              <w:jc w:val="left"/>
              <w:rPr>
                <w:rFonts w:hint="eastAsia"/>
                <w:sz w:val="24"/>
                <w:szCs w:val="24"/>
              </w:rPr>
            </w:pPr>
            <w:r>
              <w:rPr>
                <w:rFonts w:hint="eastAsia"/>
                <w:sz w:val="24"/>
                <w:szCs w:val="24"/>
              </w:rPr>
              <w:t>大写：</w:t>
            </w:r>
          </w:p>
        </w:tc>
        <w:tc>
          <w:tcPr>
            <w:tcW w:w="768" w:type="pct"/>
            <w:vMerge w:val="continue"/>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00" w:type="pct"/>
            <w:gridSpan w:val="5"/>
            <w:noWrap w:val="0"/>
            <w:vAlign w:val="top"/>
          </w:tcPr>
          <w:p>
            <w:pPr>
              <w:rPr>
                <w:rFonts w:hint="eastAsia"/>
                <w:sz w:val="28"/>
                <w:szCs w:val="28"/>
              </w:rPr>
            </w:pPr>
            <w:r>
              <w:rPr>
                <w:rFonts w:hint="eastAsia"/>
                <w:sz w:val="28"/>
                <w:szCs w:val="28"/>
              </w:rPr>
              <w:t>备注: 以上报价含税</w:t>
            </w:r>
            <w:r>
              <w:rPr>
                <w:rFonts w:hint="eastAsia"/>
                <w:sz w:val="28"/>
                <w:szCs w:val="28"/>
                <w:lang w:val="en-US" w:eastAsia="zh-CN"/>
              </w:rPr>
              <w:t>13%</w:t>
            </w:r>
            <w:r>
              <w:rPr>
                <w:rFonts w:hint="eastAsia"/>
                <w:sz w:val="28"/>
                <w:szCs w:val="28"/>
              </w:rPr>
              <w:t>、含运费，一票制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000" w:type="pct"/>
            <w:gridSpan w:val="5"/>
            <w:noWrap w:val="0"/>
            <w:vAlign w:val="top"/>
          </w:tcPr>
          <w:p>
            <w:pPr>
              <w:rPr>
                <w:rFonts w:hint="eastAsia"/>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000" w:type="pct"/>
            <w:gridSpan w:val="5"/>
            <w:noWrap w:val="0"/>
            <w:vAlign w:val="top"/>
          </w:tcPr>
          <w:p>
            <w:pPr>
              <w:rPr>
                <w:rFonts w:hint="eastAsia"/>
                <w:sz w:val="28"/>
                <w:szCs w:val="28"/>
              </w:rPr>
            </w:pPr>
            <w:r>
              <w:rPr>
                <w:rFonts w:hint="eastAsia"/>
                <w:sz w:val="28"/>
                <w:szCs w:val="28"/>
              </w:rPr>
              <w:t>投标单位公章及签字：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gridSpan w:val="5"/>
            <w:noWrap w:val="0"/>
            <w:vAlign w:val="top"/>
          </w:tcPr>
          <w:p>
            <w:pPr>
              <w:rPr>
                <w:rFonts w:hint="eastAsia"/>
                <w:sz w:val="28"/>
                <w:szCs w:val="28"/>
              </w:rPr>
            </w:pPr>
            <w:r>
              <w:rPr>
                <w:rFonts w:hint="eastAsia"/>
                <w:sz w:val="28"/>
                <w:szCs w:val="28"/>
              </w:rPr>
              <w:t>日期：</w:t>
            </w:r>
          </w:p>
        </w:tc>
      </w:tr>
    </w:tbl>
    <w:p>
      <w:pPr>
        <w:spacing w:line="480" w:lineRule="auto"/>
        <w:rPr>
          <w:rFonts w:hint="eastAsia"/>
          <w:color w:val="000000"/>
          <w:sz w:val="24"/>
          <w:szCs w:val="24"/>
        </w:rPr>
      </w:pPr>
    </w:p>
    <w:p>
      <w:pPr>
        <w:pStyle w:val="9"/>
        <w:widowControl/>
        <w:ind w:firstLine="960" w:firstLineChars="40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BA37EC"/>
    <w:rsid w:val="038D2F19"/>
    <w:rsid w:val="043C4162"/>
    <w:rsid w:val="04823B21"/>
    <w:rsid w:val="05325D34"/>
    <w:rsid w:val="053B5FB3"/>
    <w:rsid w:val="05C52E89"/>
    <w:rsid w:val="06CB7169"/>
    <w:rsid w:val="07BA48CA"/>
    <w:rsid w:val="0831406E"/>
    <w:rsid w:val="085B58B3"/>
    <w:rsid w:val="08A96692"/>
    <w:rsid w:val="0BC23640"/>
    <w:rsid w:val="0BFF25BD"/>
    <w:rsid w:val="0CBC295F"/>
    <w:rsid w:val="0DF07D84"/>
    <w:rsid w:val="0E497616"/>
    <w:rsid w:val="0E842CB1"/>
    <w:rsid w:val="0ECA71E3"/>
    <w:rsid w:val="0F0803D8"/>
    <w:rsid w:val="0F347211"/>
    <w:rsid w:val="10CA64E1"/>
    <w:rsid w:val="110928F7"/>
    <w:rsid w:val="11654D47"/>
    <w:rsid w:val="135C10D5"/>
    <w:rsid w:val="139F3DA1"/>
    <w:rsid w:val="13D576D7"/>
    <w:rsid w:val="159110DB"/>
    <w:rsid w:val="16541AFE"/>
    <w:rsid w:val="1694444C"/>
    <w:rsid w:val="17ED7E19"/>
    <w:rsid w:val="17F97F08"/>
    <w:rsid w:val="18ED4DB4"/>
    <w:rsid w:val="19B16948"/>
    <w:rsid w:val="1A8A6D05"/>
    <w:rsid w:val="1CA123BE"/>
    <w:rsid w:val="1CCB1E53"/>
    <w:rsid w:val="1CEB7302"/>
    <w:rsid w:val="1D2E11E1"/>
    <w:rsid w:val="1E937D02"/>
    <w:rsid w:val="1F4242F7"/>
    <w:rsid w:val="1F6F49E4"/>
    <w:rsid w:val="1F802445"/>
    <w:rsid w:val="20E61D51"/>
    <w:rsid w:val="21133B37"/>
    <w:rsid w:val="21534F77"/>
    <w:rsid w:val="21A2160C"/>
    <w:rsid w:val="22B96773"/>
    <w:rsid w:val="22E00851"/>
    <w:rsid w:val="23D22DCD"/>
    <w:rsid w:val="24545FD8"/>
    <w:rsid w:val="25B129B0"/>
    <w:rsid w:val="26370085"/>
    <w:rsid w:val="26F50CB1"/>
    <w:rsid w:val="278055FF"/>
    <w:rsid w:val="27AF1CA8"/>
    <w:rsid w:val="28314211"/>
    <w:rsid w:val="288D3DC5"/>
    <w:rsid w:val="28E2171B"/>
    <w:rsid w:val="29401D6D"/>
    <w:rsid w:val="2BF40243"/>
    <w:rsid w:val="2C204052"/>
    <w:rsid w:val="2C4E01C4"/>
    <w:rsid w:val="2CF31D5E"/>
    <w:rsid w:val="2E3D1B0F"/>
    <w:rsid w:val="3036622A"/>
    <w:rsid w:val="30B2072E"/>
    <w:rsid w:val="30CA3841"/>
    <w:rsid w:val="3130279D"/>
    <w:rsid w:val="31BC2D3C"/>
    <w:rsid w:val="35212328"/>
    <w:rsid w:val="36A65EF8"/>
    <w:rsid w:val="373827F1"/>
    <w:rsid w:val="379345D1"/>
    <w:rsid w:val="37974BFF"/>
    <w:rsid w:val="37A47A38"/>
    <w:rsid w:val="37BE23C2"/>
    <w:rsid w:val="387F2F2C"/>
    <w:rsid w:val="38D76DF2"/>
    <w:rsid w:val="39AC08AE"/>
    <w:rsid w:val="3A3F65BD"/>
    <w:rsid w:val="3A773720"/>
    <w:rsid w:val="3B2C1E1F"/>
    <w:rsid w:val="3C456A69"/>
    <w:rsid w:val="3C487023"/>
    <w:rsid w:val="3C887586"/>
    <w:rsid w:val="3D5A40AB"/>
    <w:rsid w:val="3DB441B2"/>
    <w:rsid w:val="3E371640"/>
    <w:rsid w:val="3EB93F1F"/>
    <w:rsid w:val="3F0B65A3"/>
    <w:rsid w:val="40F66F5D"/>
    <w:rsid w:val="41394D83"/>
    <w:rsid w:val="41A706B0"/>
    <w:rsid w:val="422E1FDF"/>
    <w:rsid w:val="423C71D1"/>
    <w:rsid w:val="426213B7"/>
    <w:rsid w:val="42CE1EFE"/>
    <w:rsid w:val="43BA445A"/>
    <w:rsid w:val="44F06573"/>
    <w:rsid w:val="4500284B"/>
    <w:rsid w:val="45407B03"/>
    <w:rsid w:val="45C004AA"/>
    <w:rsid w:val="47AD4330"/>
    <w:rsid w:val="49280B38"/>
    <w:rsid w:val="4B635392"/>
    <w:rsid w:val="4BA21255"/>
    <w:rsid w:val="4D536362"/>
    <w:rsid w:val="4DC66F68"/>
    <w:rsid w:val="4FEF61FE"/>
    <w:rsid w:val="514F2EE0"/>
    <w:rsid w:val="51A458AF"/>
    <w:rsid w:val="528B2AF1"/>
    <w:rsid w:val="52EE0AE7"/>
    <w:rsid w:val="554C057B"/>
    <w:rsid w:val="566E6D8E"/>
    <w:rsid w:val="56D7021D"/>
    <w:rsid w:val="56FF0A43"/>
    <w:rsid w:val="575A71BF"/>
    <w:rsid w:val="57D705F2"/>
    <w:rsid w:val="584E3243"/>
    <w:rsid w:val="58CF0A6A"/>
    <w:rsid w:val="5AAF6E02"/>
    <w:rsid w:val="5AEA3AD0"/>
    <w:rsid w:val="5AF969B1"/>
    <w:rsid w:val="5B1D2529"/>
    <w:rsid w:val="5B35349E"/>
    <w:rsid w:val="5BA959B9"/>
    <w:rsid w:val="5D173705"/>
    <w:rsid w:val="5D1B4B8A"/>
    <w:rsid w:val="5DCF78F9"/>
    <w:rsid w:val="5E611270"/>
    <w:rsid w:val="5EB2026E"/>
    <w:rsid w:val="61033D16"/>
    <w:rsid w:val="625B24D7"/>
    <w:rsid w:val="62CD795C"/>
    <w:rsid w:val="6334488B"/>
    <w:rsid w:val="663A330E"/>
    <w:rsid w:val="66EA0C9A"/>
    <w:rsid w:val="66FB3BC1"/>
    <w:rsid w:val="678F7868"/>
    <w:rsid w:val="67B12071"/>
    <w:rsid w:val="68985C4A"/>
    <w:rsid w:val="690A5453"/>
    <w:rsid w:val="695E0A51"/>
    <w:rsid w:val="6AE713EB"/>
    <w:rsid w:val="6C506DB2"/>
    <w:rsid w:val="6C762C90"/>
    <w:rsid w:val="6C7B13C4"/>
    <w:rsid w:val="6CA73029"/>
    <w:rsid w:val="6D3A2C2D"/>
    <w:rsid w:val="6E550ED4"/>
    <w:rsid w:val="6ED71557"/>
    <w:rsid w:val="6FD349C4"/>
    <w:rsid w:val="706A3FF6"/>
    <w:rsid w:val="70BE00F3"/>
    <w:rsid w:val="70D03715"/>
    <w:rsid w:val="70E0155E"/>
    <w:rsid w:val="711219DD"/>
    <w:rsid w:val="71F96DCA"/>
    <w:rsid w:val="72107C5B"/>
    <w:rsid w:val="72D332E3"/>
    <w:rsid w:val="732D2693"/>
    <w:rsid w:val="7357254E"/>
    <w:rsid w:val="73611393"/>
    <w:rsid w:val="739818B1"/>
    <w:rsid w:val="76206BC5"/>
    <w:rsid w:val="778A5616"/>
    <w:rsid w:val="77A234EB"/>
    <w:rsid w:val="780E1C86"/>
    <w:rsid w:val="7850695C"/>
    <w:rsid w:val="797A02ED"/>
    <w:rsid w:val="79B23223"/>
    <w:rsid w:val="79DE1204"/>
    <w:rsid w:val="7A2A69FD"/>
    <w:rsid w:val="7A6263B1"/>
    <w:rsid w:val="7ADF17B7"/>
    <w:rsid w:val="7B386B42"/>
    <w:rsid w:val="7B3C1A93"/>
    <w:rsid w:val="7B4E287B"/>
    <w:rsid w:val="7BBC102F"/>
    <w:rsid w:val="7BD509C2"/>
    <w:rsid w:val="7D2A47F3"/>
    <w:rsid w:val="7DC943B5"/>
    <w:rsid w:val="7E537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2"/>
    <w:qFormat/>
    <w:uiPriority w:val="0"/>
    <w:rPr>
      <w:rFonts w:ascii="宋体" w:hAnsi="宋体"/>
      <w:b/>
      <w:sz w:val="36"/>
      <w:szCs w:val="36"/>
    </w:rPr>
  </w:style>
  <w:style w:type="character" w:customStyle="1" w:styleId="17">
    <w:name w:val="正文文本 Char"/>
    <w:basedOn w:val="11"/>
    <w:link w:val="3"/>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4</TotalTime>
  <ScaleCrop>false</ScaleCrop>
  <LinksUpToDate>false</LinksUpToDate>
  <CharactersWithSpaces>5037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2021-06-03T09:39:18Z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076B58E10A9848898B6F68B1C6E0B73F</vt:lpwstr>
  </property>
</Properties>
</file>