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44"/>
        </w:rPr>
      </w:pPr>
      <w:r>
        <w:rPr>
          <w:rFonts w:hint="eastAsia" w:ascii="宋体" w:hAnsi="宋体"/>
          <w:b/>
          <w:sz w:val="44"/>
          <w:szCs w:val="44"/>
          <w:lang w:val="en-US" w:eastAsia="zh-CN"/>
        </w:rPr>
        <w:t>C5240双柱立式车床</w:t>
      </w:r>
      <w:r>
        <w:rPr>
          <w:rFonts w:hint="eastAsia" w:ascii="宋体" w:hAnsi="宋体"/>
          <w:b/>
          <w:sz w:val="44"/>
          <w:szCs w:val="44"/>
        </w:rPr>
        <w:t>技术要求</w:t>
      </w:r>
    </w:p>
    <w:p>
      <w:pPr>
        <w:pStyle w:val="2"/>
        <w:rPr>
          <w:rFonts w:hint="eastAsia"/>
        </w:rPr>
      </w:pPr>
    </w:p>
    <w:p>
      <w:pPr>
        <w:pStyle w:val="3"/>
        <w:numPr>
          <w:ilvl w:val="0"/>
          <w:numId w:val="1"/>
        </w:numPr>
        <w:rPr>
          <w:color w:val="auto"/>
        </w:rPr>
      </w:pPr>
      <w:r>
        <w:rPr>
          <w:rFonts w:hint="eastAsia"/>
          <w:lang w:val="en-US" w:eastAsia="zh-CN"/>
        </w:rPr>
        <w:t xml:space="preserve"> </w:t>
      </w:r>
      <w:r>
        <w:rPr>
          <w:rFonts w:hint="eastAsia" w:ascii="黑体" w:hAnsi="宋体" w:eastAsia="黑体"/>
          <w:b w:val="0"/>
          <w:snapToGrid w:val="0"/>
          <w:color w:val="auto"/>
          <w:kern w:val="24"/>
          <w:szCs w:val="28"/>
        </w:rPr>
        <w:t>基本要求</w:t>
      </w:r>
      <w:r>
        <w:rPr>
          <w:rFonts w:hint="eastAsia"/>
          <w:color w:val="auto"/>
        </w:rPr>
        <w:t>：</w:t>
      </w:r>
    </w:p>
    <w:p>
      <w:pPr>
        <w:pStyle w:val="4"/>
        <w:numPr>
          <w:ilvl w:val="0"/>
          <w:numId w:val="2"/>
        </w:numPr>
        <w:ind w:firstLine="565" w:firstLineChars="202"/>
        <w:rPr>
          <w:rFonts w:hint="eastAsia"/>
          <w:color w:val="auto"/>
          <w:lang w:val="en-US" w:eastAsia="zh-CN"/>
        </w:rPr>
      </w:pPr>
      <w:r>
        <w:rPr>
          <w:rFonts w:hint="eastAsia"/>
          <w:color w:val="auto"/>
          <w:lang w:val="en-US" w:eastAsia="zh-CN"/>
        </w:rPr>
        <w:t>机床名称：双柱立式车床，加高轻型</w:t>
      </w:r>
    </w:p>
    <w:p>
      <w:pPr>
        <w:pStyle w:val="4"/>
        <w:numPr>
          <w:ilvl w:val="0"/>
          <w:numId w:val="2"/>
        </w:numPr>
        <w:ind w:firstLine="565" w:firstLineChars="202"/>
        <w:rPr>
          <w:rFonts w:hint="eastAsia"/>
          <w:color w:val="auto"/>
          <w:lang w:eastAsia="zh-CN"/>
        </w:rPr>
      </w:pPr>
      <w:bookmarkStart w:id="0" w:name="_GoBack"/>
      <w:bookmarkEnd w:id="0"/>
      <w:r>
        <w:rPr>
          <w:rFonts w:hint="eastAsia"/>
          <w:color w:val="auto"/>
          <w:lang w:eastAsia="zh-CN"/>
        </w:rPr>
        <w:t>数量：</w:t>
      </w:r>
      <w:r>
        <w:rPr>
          <w:rFonts w:hint="eastAsia"/>
          <w:color w:val="auto"/>
          <w:lang w:val="en-US" w:eastAsia="zh-CN"/>
        </w:rPr>
        <w:t>1台</w:t>
      </w:r>
    </w:p>
    <w:p>
      <w:pPr>
        <w:pStyle w:val="4"/>
        <w:numPr>
          <w:ilvl w:val="0"/>
          <w:numId w:val="2"/>
        </w:numPr>
        <w:ind w:firstLine="565" w:firstLineChars="202"/>
        <w:rPr>
          <w:rFonts w:hint="eastAsia"/>
          <w:color w:val="auto"/>
          <w:lang w:val="en-US" w:eastAsia="zh-CN"/>
        </w:rPr>
      </w:pPr>
      <w:r>
        <w:rPr>
          <w:rFonts w:hint="eastAsia"/>
          <w:color w:val="auto"/>
          <w:lang w:val="en-US" w:eastAsia="zh-CN"/>
        </w:rPr>
        <w:t>机床用途：</w:t>
      </w:r>
    </w:p>
    <w:p>
      <w:pPr>
        <w:pStyle w:val="4"/>
        <w:numPr>
          <w:ilvl w:val="0"/>
          <w:numId w:val="0"/>
        </w:numPr>
        <w:ind w:firstLine="840" w:firstLineChars="300"/>
        <w:rPr>
          <w:rFonts w:hint="eastAsia"/>
          <w:color w:val="auto"/>
          <w:lang w:val="en-US" w:eastAsia="zh-CN"/>
        </w:rPr>
      </w:pPr>
      <w:r>
        <w:rPr>
          <w:rFonts w:hint="eastAsia"/>
          <w:color w:val="auto"/>
          <w:lang w:val="en-US" w:eastAsia="zh-CN"/>
        </w:rPr>
        <w:t>本机用于加工球墨铸铁管件产品，在机床上完成粗、精车内、外圆柱面、内、外圆锥面、端面及切槽等工序。</w:t>
      </w:r>
    </w:p>
    <w:p>
      <w:pPr>
        <w:pStyle w:val="4"/>
        <w:numPr>
          <w:ilvl w:val="0"/>
          <w:numId w:val="2"/>
        </w:numPr>
        <w:ind w:firstLine="565" w:firstLineChars="202"/>
        <w:rPr>
          <w:rFonts w:hint="eastAsia"/>
          <w:color w:val="auto"/>
          <w:lang w:val="en-US" w:eastAsia="zh-CN"/>
        </w:rPr>
      </w:pPr>
      <w:r>
        <w:rPr>
          <w:rFonts w:hint="eastAsia"/>
          <w:color w:val="auto"/>
          <w:lang w:val="en-US" w:eastAsia="zh-CN"/>
        </w:rPr>
        <w:t>技术参数要求：</w:t>
      </w:r>
    </w:p>
    <w:tbl>
      <w:tblPr>
        <w:tblStyle w:val="9"/>
        <w:tblW w:w="925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5"/>
        <w:gridCol w:w="144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参数名称</w:t>
            </w:r>
          </w:p>
        </w:tc>
        <w:tc>
          <w:tcPr>
            <w:tcW w:w="1440" w:type="dxa"/>
            <w:tcBorders>
              <w:tl2br w:val="single" w:color="auto" w:sz="4" w:space="0"/>
            </w:tcBorders>
            <w:noWrap w:val="0"/>
            <w:vAlign w:val="center"/>
          </w:tcPr>
          <w:p>
            <w:pPr>
              <w:ind w:right="-143" w:rightChars="-51" w:firstLine="700" w:firstLineChars="250"/>
              <w:rPr>
                <w:rFonts w:hint="eastAsia" w:ascii="楷体_GB2312" w:eastAsia="楷体_GB2312"/>
                <w:sz w:val="28"/>
                <w:szCs w:val="28"/>
              </w:rPr>
            </w:pPr>
            <w:r>
              <w:rPr>
                <w:rFonts w:hint="eastAsia" w:ascii="楷体_GB2312" w:hAnsi="宋体" w:eastAsia="楷体_GB2312"/>
                <w:sz w:val="28"/>
                <w:szCs w:val="28"/>
              </w:rPr>
              <w:t>型号</w:t>
            </w:r>
          </w:p>
          <w:p>
            <w:pPr>
              <w:ind w:firstLine="137" w:firstLineChars="49"/>
              <w:rPr>
                <w:rFonts w:hint="eastAsia" w:ascii="楷体_GB2312" w:eastAsia="楷体_GB2312"/>
                <w:sz w:val="28"/>
                <w:szCs w:val="28"/>
              </w:rPr>
            </w:pPr>
            <w:r>
              <w:rPr>
                <w:rFonts w:hint="eastAsia" w:ascii="楷体_GB2312" w:hAnsi="宋体" w:eastAsia="楷体_GB2312"/>
                <w:sz w:val="28"/>
                <w:szCs w:val="28"/>
              </w:rPr>
              <w:t>单位</w:t>
            </w:r>
          </w:p>
        </w:tc>
        <w:tc>
          <w:tcPr>
            <w:tcW w:w="4320" w:type="dxa"/>
            <w:noWrap w:val="0"/>
            <w:vAlign w:val="center"/>
          </w:tcPr>
          <w:p>
            <w:pPr>
              <w:ind w:firstLine="1120" w:firstLineChars="400"/>
              <w:jc w:val="both"/>
              <w:rPr>
                <w:rFonts w:hint="default" w:ascii="楷体_GB2312" w:hAnsi="宋体" w:eastAsia="楷体_GB2312"/>
                <w:sz w:val="28"/>
                <w:szCs w:val="28"/>
                <w:lang w:val="en-US" w:eastAsia="zh-CN"/>
              </w:rPr>
            </w:pPr>
            <w:r>
              <w:rPr>
                <w:rFonts w:hint="eastAsia" w:ascii="楷体_GB2312" w:hAnsi="宋体" w:eastAsia="楷体_GB2312"/>
                <w:sz w:val="28"/>
                <w:szCs w:val="28"/>
                <w:lang w:val="en-US" w:eastAsia="zh-CN"/>
              </w:rPr>
              <w:t>技术参数（mm)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3495" w:type="dxa"/>
            <w:noWrap w:val="0"/>
            <w:vAlign w:val="center"/>
          </w:tcPr>
          <w:p>
            <w:pPr>
              <w:ind w:left="-238" w:leftChars="-85" w:right="-143" w:rightChars="-51"/>
              <w:jc w:val="center"/>
              <w:rPr>
                <w:rFonts w:hint="eastAsia" w:ascii="楷体_GB2312" w:eastAsia="楷体_GB2312"/>
                <w:sz w:val="28"/>
                <w:szCs w:val="28"/>
              </w:rPr>
            </w:pPr>
            <w:r>
              <w:rPr>
                <w:rFonts w:hint="eastAsia" w:ascii="楷体_GB2312" w:hAnsi="宋体" w:eastAsia="楷体_GB2312"/>
                <w:sz w:val="28"/>
                <w:szCs w:val="28"/>
              </w:rPr>
              <w:t>最大车削直径</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jc w:val="center"/>
              <w:rPr>
                <w:rFonts w:hint="eastAsia" w:ascii="楷体_GB2312" w:eastAsia="楷体_GB2312"/>
                <w:sz w:val="28"/>
                <w:szCs w:val="28"/>
              </w:rPr>
            </w:pPr>
            <w:r>
              <w:rPr>
                <w:rFonts w:hint="eastAsia" w:ascii="楷体_GB2312" w:eastAsia="楷体_GB2312"/>
                <w:sz w:val="28"/>
                <w:szCs w:val="28"/>
              </w:rPr>
              <w:t>φ4</w:t>
            </w:r>
            <w:r>
              <w:rPr>
                <w:rFonts w:hint="eastAsia" w:ascii="楷体_GB2312" w:eastAsia="楷体_GB2312"/>
                <w:sz w:val="28"/>
                <w:szCs w:val="28"/>
                <w:lang w:val="en-US" w:eastAsia="zh-CN"/>
              </w:rPr>
              <w:t>5</w:t>
            </w:r>
            <w:r>
              <w:rPr>
                <w:rFonts w:hint="eastAsia" w:ascii="楷体_GB2312" w:eastAsia="楷体_GB2312"/>
                <w:sz w:val="28"/>
                <w:szCs w:val="2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工作台直径</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jc w:val="center"/>
              <w:rPr>
                <w:rFonts w:hint="eastAsia" w:ascii="楷体_GB2312" w:eastAsia="楷体_GB2312"/>
                <w:sz w:val="28"/>
                <w:szCs w:val="28"/>
              </w:rPr>
            </w:pPr>
            <w:r>
              <w:rPr>
                <w:rFonts w:hint="eastAsia" w:ascii="宋体" w:hAnsi="宋体" w:eastAsia="宋体" w:cs="宋体"/>
                <w:sz w:val="28"/>
                <w:szCs w:val="28"/>
              </w:rPr>
              <w:t>≧</w:t>
            </w:r>
            <w:r>
              <w:rPr>
                <w:rFonts w:hint="eastAsia" w:ascii="楷体_GB2312" w:eastAsia="楷体_GB2312"/>
                <w:sz w:val="28"/>
                <w:szCs w:val="28"/>
              </w:rPr>
              <w:t>φ3200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最大工件高度</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ind w:left="-143" w:leftChars="-51" w:right="-143" w:rightChars="-51"/>
              <w:jc w:val="center"/>
              <w:rPr>
                <w:rFonts w:hint="eastAsia" w:ascii="楷体_GB2312" w:eastAsia="楷体_GB2312"/>
                <w:sz w:val="28"/>
                <w:szCs w:val="28"/>
              </w:rPr>
            </w:pPr>
            <w:r>
              <w:rPr>
                <w:rFonts w:hint="eastAsia" w:ascii="楷体_GB2312" w:eastAsia="楷体_GB2312"/>
                <w:sz w:val="28"/>
                <w:szCs w:val="28"/>
                <w:lang w:val="en-US" w:eastAsia="zh-CN"/>
              </w:rPr>
              <w:t>35</w:t>
            </w:r>
            <w:r>
              <w:rPr>
                <w:rFonts w:hint="eastAsia" w:ascii="楷体_GB2312" w:eastAsia="楷体_GB2312"/>
                <w:sz w:val="28"/>
                <w:szCs w:val="2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最大工件重量</w:t>
            </w:r>
          </w:p>
        </w:tc>
        <w:tc>
          <w:tcPr>
            <w:tcW w:w="1440" w:type="dxa"/>
            <w:noWrap w:val="0"/>
            <w:vAlign w:val="center"/>
          </w:tcPr>
          <w:p>
            <w:pPr>
              <w:jc w:val="center"/>
              <w:rPr>
                <w:rFonts w:hint="eastAsia" w:ascii="楷体_GB2312" w:eastAsia="楷体_GB2312"/>
                <w:sz w:val="28"/>
                <w:szCs w:val="28"/>
              </w:rPr>
            </w:pPr>
            <w:r>
              <w:rPr>
                <w:rFonts w:hint="eastAsia" w:ascii="楷体_GB2312" w:eastAsia="楷体_GB2312"/>
                <w:sz w:val="28"/>
                <w:szCs w:val="28"/>
              </w:rPr>
              <w:t>t</w:t>
            </w:r>
          </w:p>
        </w:tc>
        <w:tc>
          <w:tcPr>
            <w:tcW w:w="4320" w:type="dxa"/>
            <w:noWrap w:val="0"/>
            <w:vAlign w:val="center"/>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10</w:t>
            </w:r>
          </w:p>
        </w:tc>
      </w:tr>
    </w:tbl>
    <w:p>
      <w:pPr>
        <w:pStyle w:val="4"/>
        <w:widowControl w:val="0"/>
        <w:numPr>
          <w:ilvl w:val="0"/>
          <w:numId w:val="0"/>
        </w:numPr>
        <w:adjustRightInd w:val="0"/>
        <w:spacing w:line="312" w:lineRule="auto"/>
        <w:jc w:val="both"/>
        <w:textAlignment w:val="baseline"/>
        <w:rPr>
          <w:rFonts w:hint="eastAsia"/>
          <w:color w:val="auto"/>
          <w:lang w:val="en-US" w:eastAsia="zh-CN"/>
        </w:rPr>
      </w:pPr>
    </w:p>
    <w:p>
      <w:pPr>
        <w:pStyle w:val="3"/>
        <w:numPr>
          <w:ilvl w:val="0"/>
          <w:numId w:val="1"/>
        </w:numPr>
        <w:rPr>
          <w:color w:val="auto"/>
        </w:rPr>
      </w:pPr>
      <w:r>
        <w:rPr>
          <w:rFonts w:hint="eastAsia"/>
          <w:color w:val="auto"/>
        </w:rPr>
        <w:t>主要供货设备：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605"/>
        <w:gridCol w:w="3783"/>
        <w:gridCol w:w="1197"/>
        <w:gridCol w:w="851"/>
        <w:gridCol w:w="709"/>
        <w:gridCol w:w="186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序号</w:t>
            </w:r>
          </w:p>
        </w:tc>
        <w:tc>
          <w:tcPr>
            <w:tcW w:w="3783"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设备名称</w:t>
            </w:r>
          </w:p>
        </w:tc>
        <w:tc>
          <w:tcPr>
            <w:tcW w:w="1197"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型 式</w:t>
            </w:r>
          </w:p>
        </w:tc>
        <w:tc>
          <w:tcPr>
            <w:tcW w:w="851"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单位</w:t>
            </w:r>
          </w:p>
        </w:tc>
        <w:tc>
          <w:tcPr>
            <w:tcW w:w="709"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数量</w:t>
            </w:r>
          </w:p>
        </w:tc>
        <w:tc>
          <w:tcPr>
            <w:tcW w:w="1868" w:type="dxa"/>
            <w:tcBorders>
              <w:top w:val="single" w:color="auto" w:sz="4" w:space="0"/>
              <w:left w:val="single" w:color="auto" w:sz="6" w:space="0"/>
              <w:bottom w:val="single" w:color="auto" w:sz="6" w:space="0"/>
              <w:right w:val="single" w:color="auto" w:sz="4" w:space="0"/>
            </w:tcBorders>
            <w:vAlign w:val="center"/>
          </w:tcPr>
          <w:p>
            <w:pPr>
              <w:ind w:left="56" w:leftChars="20"/>
              <w:jc w:val="center"/>
              <w:rPr>
                <w:color w:val="auto"/>
              </w:rPr>
            </w:pPr>
            <w:r>
              <w:rPr>
                <w:rFonts w:hint="eastAsia"/>
                <w:color w:val="auto"/>
              </w:rPr>
              <w:t>备    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1</w:t>
            </w:r>
          </w:p>
        </w:tc>
        <w:tc>
          <w:tcPr>
            <w:tcW w:w="3783" w:type="dxa"/>
            <w:tcBorders>
              <w:top w:val="single" w:color="auto" w:sz="4" w:space="0"/>
              <w:left w:val="single" w:color="auto" w:sz="4" w:space="0"/>
              <w:bottom w:val="single" w:color="auto" w:sz="6" w:space="0"/>
              <w:right w:val="single" w:color="auto" w:sz="6" w:space="0"/>
            </w:tcBorders>
            <w:vAlign w:val="center"/>
          </w:tcPr>
          <w:p>
            <w:pPr>
              <w:jc w:val="center"/>
              <w:rPr>
                <w:rFonts w:hint="eastAsia" w:eastAsia="宋体"/>
                <w:color w:val="auto"/>
                <w:lang w:eastAsia="zh-CN"/>
              </w:rPr>
            </w:pPr>
            <w:r>
              <w:rPr>
                <w:rFonts w:hint="eastAsia"/>
                <w:color w:val="auto"/>
                <w:lang w:eastAsia="zh-CN"/>
              </w:rPr>
              <w:t>机床本体</w:t>
            </w:r>
          </w:p>
        </w:tc>
        <w:tc>
          <w:tcPr>
            <w:tcW w:w="1197" w:type="dxa"/>
            <w:tcBorders>
              <w:top w:val="single" w:color="auto" w:sz="4" w:space="0"/>
              <w:left w:val="single" w:color="auto" w:sz="6" w:space="0"/>
              <w:bottom w:val="single" w:color="auto" w:sz="6" w:space="0"/>
              <w:right w:val="single" w:color="auto" w:sz="6" w:space="0"/>
            </w:tcBorders>
            <w:vAlign w:val="center"/>
          </w:tcPr>
          <w:p>
            <w:pPr>
              <w:ind w:left="56" w:leftChars="20"/>
              <w:jc w:val="center"/>
              <w:rPr>
                <w:rFonts w:hint="eastAsia" w:eastAsia="宋体"/>
                <w:color w:val="auto"/>
                <w:lang w:eastAsia="zh-CN"/>
              </w:rPr>
            </w:pPr>
            <w:r>
              <w:rPr>
                <w:rFonts w:hint="eastAsia"/>
                <w:color w:val="auto"/>
                <w:lang w:val="en-US" w:eastAsia="zh-CN"/>
              </w:rPr>
              <w:t>双柱</w:t>
            </w:r>
            <w:r>
              <w:rPr>
                <w:rFonts w:hint="eastAsia"/>
                <w:color w:val="auto"/>
                <w:lang w:eastAsia="zh-CN"/>
              </w:rPr>
              <w:t>立式</w:t>
            </w:r>
          </w:p>
        </w:tc>
        <w:tc>
          <w:tcPr>
            <w:tcW w:w="851"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1</w:t>
            </w:r>
          </w:p>
        </w:tc>
        <w:tc>
          <w:tcPr>
            <w:tcW w:w="1868" w:type="dxa"/>
            <w:vMerge w:val="restart"/>
            <w:tcBorders>
              <w:top w:val="single" w:color="auto" w:sz="4" w:space="0"/>
              <w:left w:val="single" w:color="auto" w:sz="6" w:space="0"/>
              <w:right w:val="single" w:color="auto" w:sz="4" w:space="0"/>
            </w:tcBorders>
            <w:vAlign w:val="center"/>
          </w:tcPr>
          <w:p>
            <w:pPr>
              <w:ind w:left="56" w:leftChars="20"/>
              <w:jc w:val="center"/>
              <w:rPr>
                <w:color w:val="auto"/>
              </w:rPr>
            </w:pPr>
            <w:r>
              <w:rPr>
                <w:rFonts w:hint="eastAsia"/>
                <w:color w:val="auto"/>
              </w:rPr>
              <w:t>机电一体供货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6" w:space="0"/>
              <w:left w:val="single" w:color="auto" w:sz="4" w:space="0"/>
              <w:bottom w:val="single" w:color="auto" w:sz="6" w:space="0"/>
              <w:right w:val="single" w:color="auto" w:sz="6" w:space="0"/>
            </w:tcBorders>
            <w:vAlign w:val="center"/>
          </w:tcPr>
          <w:p>
            <w:pPr>
              <w:jc w:val="center"/>
              <w:rPr>
                <w:color w:val="auto"/>
              </w:rPr>
            </w:pPr>
            <w:r>
              <w:rPr>
                <w:rFonts w:hint="eastAsia"/>
                <w:color w:val="auto"/>
              </w:rPr>
              <w:t>2</w:t>
            </w:r>
          </w:p>
        </w:tc>
        <w:tc>
          <w:tcPr>
            <w:tcW w:w="3783" w:type="dxa"/>
            <w:tcBorders>
              <w:top w:val="single" w:color="auto" w:sz="6" w:space="0"/>
              <w:left w:val="single" w:color="auto" w:sz="4" w:space="0"/>
              <w:bottom w:val="single" w:color="auto" w:sz="6" w:space="0"/>
              <w:right w:val="single" w:color="auto" w:sz="6" w:space="0"/>
            </w:tcBorders>
            <w:vAlign w:val="center"/>
          </w:tcPr>
          <w:p>
            <w:pPr>
              <w:ind w:left="140" w:leftChars="50" w:right="140" w:rightChars="50"/>
              <w:jc w:val="center"/>
              <w:rPr>
                <w:color w:val="auto"/>
              </w:rPr>
            </w:pPr>
            <w:r>
              <w:rPr>
                <w:rFonts w:hint="eastAsia"/>
                <w:color w:val="auto"/>
                <w:lang w:eastAsia="zh-CN"/>
              </w:rPr>
              <w:t>液压</w:t>
            </w:r>
            <w:r>
              <w:rPr>
                <w:rFonts w:hint="eastAsia"/>
                <w:color w:val="auto"/>
              </w:rPr>
              <w:t>系统</w:t>
            </w:r>
          </w:p>
        </w:tc>
        <w:tc>
          <w:tcPr>
            <w:tcW w:w="1197"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p>
        </w:tc>
        <w:tc>
          <w:tcPr>
            <w:tcW w:w="851"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6" w:space="0"/>
              <w:left w:val="single" w:color="auto" w:sz="6" w:space="0"/>
              <w:bottom w:val="single" w:color="auto" w:sz="6" w:space="0"/>
              <w:right w:val="single" w:color="auto" w:sz="6" w:space="0"/>
            </w:tcBorders>
            <w:vAlign w:val="center"/>
          </w:tcPr>
          <w:p>
            <w:pPr>
              <w:ind w:left="56" w:leftChars="20"/>
              <w:jc w:val="center"/>
              <w:rPr>
                <w:rFonts w:hint="eastAsia" w:eastAsia="宋体"/>
                <w:color w:val="auto"/>
                <w:lang w:eastAsia="zh-CN"/>
              </w:rPr>
            </w:pPr>
            <w:r>
              <w:rPr>
                <w:rFonts w:hint="eastAsia"/>
                <w:color w:val="auto"/>
                <w:lang w:val="en-US" w:eastAsia="zh-CN"/>
              </w:rPr>
              <w:t>1</w:t>
            </w:r>
          </w:p>
        </w:tc>
        <w:tc>
          <w:tcPr>
            <w:tcW w:w="1868" w:type="dxa"/>
            <w:vMerge w:val="continue"/>
            <w:tcBorders>
              <w:left w:val="single" w:color="auto" w:sz="6" w:space="0"/>
              <w:right w:val="single" w:color="auto" w:sz="4" w:space="0"/>
            </w:tcBorders>
            <w:vAlign w:val="center"/>
          </w:tcPr>
          <w:p>
            <w:pPr>
              <w:ind w:left="56" w:leftChars="20"/>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6" w:space="0"/>
              <w:left w:val="single" w:color="auto" w:sz="4" w:space="0"/>
              <w:bottom w:val="single" w:color="auto" w:sz="6" w:space="0"/>
              <w:right w:val="single" w:color="auto" w:sz="6" w:space="0"/>
            </w:tcBorders>
            <w:vAlign w:val="center"/>
          </w:tcPr>
          <w:p>
            <w:pPr>
              <w:jc w:val="center"/>
              <w:rPr>
                <w:color w:val="auto"/>
              </w:rPr>
            </w:pPr>
            <w:r>
              <w:rPr>
                <w:rFonts w:hint="eastAsia"/>
                <w:color w:val="auto"/>
              </w:rPr>
              <w:t>3</w:t>
            </w:r>
          </w:p>
        </w:tc>
        <w:tc>
          <w:tcPr>
            <w:tcW w:w="3783" w:type="dxa"/>
            <w:tcBorders>
              <w:top w:val="single" w:color="auto" w:sz="6" w:space="0"/>
              <w:left w:val="single" w:color="auto" w:sz="4" w:space="0"/>
              <w:bottom w:val="single" w:color="auto" w:sz="6" w:space="0"/>
              <w:right w:val="single" w:color="auto" w:sz="6" w:space="0"/>
            </w:tcBorders>
            <w:vAlign w:val="center"/>
          </w:tcPr>
          <w:p>
            <w:pPr>
              <w:ind w:left="140" w:leftChars="50" w:right="140" w:rightChars="50"/>
              <w:jc w:val="center"/>
              <w:rPr>
                <w:rFonts w:hint="eastAsia" w:eastAsia="宋体"/>
                <w:color w:val="auto"/>
                <w:lang w:eastAsia="zh-CN"/>
              </w:rPr>
            </w:pPr>
            <w:r>
              <w:rPr>
                <w:rFonts w:hint="eastAsia"/>
                <w:color w:val="auto"/>
                <w:lang w:eastAsia="zh-CN"/>
              </w:rPr>
              <w:t>电控系统</w:t>
            </w:r>
          </w:p>
        </w:tc>
        <w:tc>
          <w:tcPr>
            <w:tcW w:w="1197"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p>
        </w:tc>
        <w:tc>
          <w:tcPr>
            <w:tcW w:w="851"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1</w:t>
            </w:r>
          </w:p>
        </w:tc>
        <w:tc>
          <w:tcPr>
            <w:tcW w:w="1868" w:type="dxa"/>
            <w:vMerge w:val="continue"/>
            <w:tcBorders>
              <w:left w:val="single" w:color="auto" w:sz="6" w:space="0"/>
              <w:right w:val="single" w:color="auto" w:sz="4" w:space="0"/>
            </w:tcBorders>
            <w:vAlign w:val="center"/>
          </w:tcPr>
          <w:p>
            <w:pPr>
              <w:ind w:left="56" w:leftChars="20"/>
              <w:jc w:val="center"/>
              <w:rPr>
                <w:color w:val="auto"/>
              </w:rPr>
            </w:pPr>
          </w:p>
        </w:tc>
      </w:tr>
    </w:tbl>
    <w:p>
      <w:pPr>
        <w:pStyle w:val="4"/>
        <w:rPr>
          <w:color w:val="auto"/>
          <w14:textFill>
            <w14:gradFill>
              <w14:gsLst>
                <w14:gs w14:pos="0">
                  <w14:srgbClr w14:val="FECF40"/>
                </w14:gs>
                <w14:gs w14:pos="100000">
                  <w14:srgbClr w14:val="846C21"/>
                </w14:gs>
              </w14:gsLst>
              <w14:lin w14:scaled="0"/>
            </w14:gradFill>
          </w14:textFill>
        </w:rPr>
      </w:pPr>
    </w:p>
    <w:p>
      <w:pPr>
        <w:pStyle w:val="3"/>
        <w:numPr>
          <w:ilvl w:val="0"/>
          <w:numId w:val="1"/>
        </w:numPr>
      </w:pPr>
      <w:r>
        <w:rPr>
          <w:rFonts w:hint="eastAsia"/>
        </w:rPr>
        <w:t>主要技术条件：</w:t>
      </w:r>
    </w:p>
    <w:p>
      <w:pPr>
        <w:pStyle w:val="12"/>
        <w:spacing w:line="360" w:lineRule="auto"/>
        <w:ind w:left="0" w:leftChars="0" w:firstLine="0" w:firstLineChars="0"/>
        <w:rPr>
          <w:rFonts w:hint="default" w:ascii="宋体" w:hAnsi="宋体" w:eastAsia="宋体"/>
          <w:sz w:val="24"/>
          <w:lang w:val="en-US" w:eastAsia="zh-CN"/>
        </w:rPr>
      </w:pPr>
      <w:r>
        <w:rPr>
          <w:rFonts w:hint="eastAsia"/>
          <w:lang w:eastAsia="zh-CN"/>
        </w:rPr>
        <w:t>（一）</w:t>
      </w:r>
      <w:r>
        <w:rPr>
          <w:rFonts w:hint="eastAsia" w:ascii="宋体" w:hAnsi="宋体"/>
          <w:sz w:val="24"/>
        </w:rPr>
        <w:t>产品材质</w:t>
      </w:r>
      <w:r>
        <w:rPr>
          <w:rFonts w:hint="eastAsia" w:ascii="宋体" w:hAnsi="宋体"/>
          <w:sz w:val="24"/>
          <w:lang w:eastAsia="zh-CN"/>
        </w:rPr>
        <w:t>、</w:t>
      </w:r>
      <w:r>
        <w:rPr>
          <w:rFonts w:hint="eastAsia" w:ascii="宋体" w:hAnsi="宋体"/>
          <w:sz w:val="24"/>
        </w:rPr>
        <w:t>余量</w:t>
      </w:r>
      <w:r>
        <w:rPr>
          <w:rFonts w:hint="eastAsia" w:ascii="宋体" w:hAnsi="宋体"/>
          <w:sz w:val="24"/>
          <w:lang w:eastAsia="zh-CN"/>
        </w:rPr>
        <w:t>、</w:t>
      </w:r>
      <w:r>
        <w:rPr>
          <w:rFonts w:hint="eastAsia" w:ascii="宋体" w:hAnsi="宋体"/>
          <w:sz w:val="24"/>
          <w:lang w:val="en-US" w:eastAsia="zh-CN"/>
        </w:rPr>
        <w:t>质量要求</w:t>
      </w:r>
    </w:p>
    <w:p>
      <w:pPr>
        <w:pStyle w:val="4"/>
        <w:numPr>
          <w:ilvl w:val="0"/>
          <w:numId w:val="3"/>
        </w:numPr>
        <w:ind w:firstLine="565" w:firstLineChars="202"/>
        <w:rPr>
          <w:rFonts w:hint="eastAsia"/>
          <w:color w:val="auto"/>
          <w:lang w:val="en-US" w:eastAsia="zh-CN"/>
        </w:rPr>
      </w:pPr>
      <w:r>
        <w:rPr>
          <w:rFonts w:hint="eastAsia"/>
          <w:color w:val="auto"/>
          <w:lang w:val="en-US" w:eastAsia="zh-CN"/>
        </w:rPr>
        <w:t>管件的材质：球墨铸铁，抗拉强度≧420MPa，延伸率5%-15%。</w:t>
      </w:r>
    </w:p>
    <w:p>
      <w:pPr>
        <w:pStyle w:val="4"/>
        <w:numPr>
          <w:ilvl w:val="0"/>
          <w:numId w:val="3"/>
        </w:numPr>
        <w:ind w:firstLine="565" w:firstLineChars="202"/>
        <w:rPr>
          <w:rFonts w:hint="eastAsia"/>
          <w:color w:val="auto"/>
          <w:lang w:val="en-US" w:eastAsia="zh-CN"/>
        </w:rPr>
      </w:pPr>
      <w:r>
        <w:rPr>
          <w:rFonts w:hint="eastAsia"/>
          <w:color w:val="auto"/>
          <w:lang w:val="en-US" w:eastAsia="zh-CN"/>
        </w:rPr>
        <w:t>工件单件最大重量≤10000KG。</w:t>
      </w:r>
    </w:p>
    <w:p>
      <w:pPr>
        <w:pStyle w:val="4"/>
        <w:numPr>
          <w:ilvl w:val="0"/>
          <w:numId w:val="3"/>
        </w:numPr>
        <w:ind w:firstLine="565" w:firstLineChars="202"/>
        <w:rPr>
          <w:rFonts w:hint="eastAsia"/>
          <w:color w:val="auto"/>
          <w:lang w:val="en-US" w:eastAsia="zh-CN"/>
        </w:rPr>
      </w:pPr>
      <w:r>
        <w:rPr>
          <w:rFonts w:hint="eastAsia"/>
          <w:color w:val="auto"/>
          <w:lang w:val="en-US" w:eastAsia="zh-CN"/>
        </w:rPr>
        <w:t>需加工表面加工后粗糙度要求Ra6.3，加工后整体无振纹、无飞边毛刺等缺陷。</w:t>
      </w:r>
    </w:p>
    <w:p>
      <w:pPr>
        <w:pStyle w:val="13"/>
        <w:snapToGrid w:val="0"/>
        <w:spacing w:line="360" w:lineRule="auto"/>
        <w:jc w:val="left"/>
        <w:rPr>
          <w:rFonts w:hint="eastAsia" w:eastAsia="宋体"/>
          <w:b/>
          <w:sz w:val="24"/>
          <w:szCs w:val="24"/>
          <w:lang w:eastAsia="zh-CN"/>
        </w:rPr>
      </w:pPr>
      <w:r>
        <w:rPr>
          <w:rFonts w:hint="eastAsia"/>
          <w:b/>
          <w:sz w:val="24"/>
          <w:szCs w:val="24"/>
          <w:lang w:eastAsia="zh-CN"/>
        </w:rPr>
        <w:t>（二）</w:t>
      </w:r>
      <w:r>
        <w:rPr>
          <w:rFonts w:hint="eastAsia"/>
          <w:b/>
          <w:sz w:val="24"/>
          <w:szCs w:val="24"/>
        </w:rPr>
        <w:t>、机床功能</w:t>
      </w:r>
      <w:r>
        <w:rPr>
          <w:rFonts w:hint="eastAsia"/>
          <w:b/>
          <w:sz w:val="24"/>
          <w:szCs w:val="24"/>
          <w:lang w:eastAsia="zh-CN"/>
        </w:rPr>
        <w:t>及结构要求</w:t>
      </w:r>
    </w:p>
    <w:p>
      <w:pPr>
        <w:pStyle w:val="4"/>
        <w:numPr>
          <w:ilvl w:val="0"/>
          <w:numId w:val="0"/>
        </w:numPr>
        <w:ind w:firstLine="560" w:firstLineChars="200"/>
        <w:rPr>
          <w:rFonts w:hint="eastAsia"/>
          <w:color w:val="auto"/>
          <w:lang w:val="en-US" w:eastAsia="zh-CN"/>
        </w:rPr>
      </w:pPr>
      <w:r>
        <w:rPr>
          <w:rFonts w:hint="eastAsia"/>
          <w:color w:val="auto"/>
          <w:lang w:val="en-US" w:eastAsia="zh-CN"/>
        </w:rPr>
        <w:t>（1）本机床须具有完善的液压系统、自动润滑系统（所有运动部件均应进行自动润滑）、安全联锁系统、自动排屑系统，带半防护罩，带导轨不锈钢护罩、带自动排屑装置、带内外冷却系统。</w:t>
      </w:r>
    </w:p>
    <w:p>
      <w:pPr>
        <w:pStyle w:val="4"/>
        <w:numPr>
          <w:ilvl w:val="0"/>
          <w:numId w:val="0"/>
        </w:numPr>
        <w:ind w:firstLine="560" w:firstLineChars="200"/>
        <w:rPr>
          <w:rFonts w:hint="eastAsia"/>
          <w:color w:val="auto"/>
          <w:lang w:val="en-US" w:eastAsia="zh-CN"/>
        </w:rPr>
      </w:pPr>
      <w:r>
        <w:rPr>
          <w:rFonts w:hint="eastAsia"/>
          <w:color w:val="auto"/>
          <w:lang w:val="en-US" w:eastAsia="zh-CN"/>
        </w:rPr>
        <w:t>（2）本机床须有足够的强度、刚度，精度稳定、经久耐用。床身和导轨须采用优质材料制造（非加工面带附铸金相试棒交货，备检），确保机床能适应长期稳定运行。 机床须在环境温度0~40℃、相对湿度≤90%条件下，能连续稳定工作。</w:t>
      </w:r>
    </w:p>
    <w:p>
      <w:pPr>
        <w:pStyle w:val="4"/>
        <w:numPr>
          <w:ilvl w:val="0"/>
          <w:numId w:val="0"/>
        </w:numPr>
        <w:ind w:firstLine="560" w:firstLineChars="200"/>
        <w:rPr>
          <w:rFonts w:hint="eastAsia"/>
          <w:color w:val="auto"/>
          <w:lang w:val="en-US" w:eastAsia="zh-CN"/>
        </w:rPr>
      </w:pPr>
      <w:r>
        <w:rPr>
          <w:rFonts w:hint="eastAsia"/>
          <w:color w:val="auto"/>
          <w:lang w:val="en-US" w:eastAsia="zh-CN"/>
        </w:rPr>
        <w:t>（3）X、Y、Z各向运动（包括快速移动及进给）、皆应设有防碰撞、防超负荷的保险装置。</w:t>
      </w:r>
    </w:p>
    <w:p>
      <w:pPr>
        <w:pStyle w:val="4"/>
        <w:numPr>
          <w:ilvl w:val="0"/>
          <w:numId w:val="0"/>
        </w:numPr>
        <w:ind w:firstLine="560" w:firstLineChars="200"/>
        <w:rPr>
          <w:rFonts w:hint="eastAsia"/>
          <w:color w:val="auto"/>
          <w:lang w:val="en-US" w:eastAsia="zh-CN"/>
        </w:rPr>
      </w:pPr>
      <w:r>
        <w:rPr>
          <w:rFonts w:hint="eastAsia"/>
          <w:color w:val="auto"/>
          <w:lang w:val="en-US" w:eastAsia="zh-CN"/>
        </w:rPr>
        <w:t>（4）本机床所选用的机械、液压、电气系统及其零部件、电子元件是当今市场上采购的标准系列产品，技术先进、优质可靠。不得有国家明令禁止使用、已处于淘汰范畴的产品。数控系统必须为进口一线品牌，且须保证出厂时为当今市场上最新版本。</w:t>
      </w:r>
    </w:p>
    <w:p>
      <w:pPr>
        <w:pStyle w:val="4"/>
        <w:numPr>
          <w:ilvl w:val="0"/>
          <w:numId w:val="0"/>
        </w:numPr>
        <w:ind w:firstLine="560" w:firstLineChars="200"/>
        <w:rPr>
          <w:rFonts w:hint="eastAsia"/>
          <w:color w:val="auto"/>
          <w:lang w:val="en-US" w:eastAsia="zh-CN"/>
        </w:rPr>
      </w:pPr>
      <w:r>
        <w:rPr>
          <w:rFonts w:hint="eastAsia"/>
          <w:color w:val="auto"/>
          <w:lang w:val="en-US" w:eastAsia="zh-CN"/>
        </w:rPr>
        <w:t>（5）机床方案要求于投标前与业主进行充分勾通，提供加工方案、机床及工装总装配图，机床结构、主要功能、加工效率、主要技术参数、操作使用特点等的详细说明发业主邮箱，方案确认后方可参加投标，未勾通者不予受理参加投标。</w:t>
      </w:r>
    </w:p>
    <w:p>
      <w:pPr>
        <w:pStyle w:val="4"/>
        <w:numPr>
          <w:ilvl w:val="0"/>
          <w:numId w:val="0"/>
        </w:numPr>
        <w:ind w:firstLine="560" w:firstLineChars="200"/>
        <w:rPr>
          <w:rFonts w:hint="eastAsia"/>
          <w:color w:val="auto"/>
          <w:lang w:val="en-US" w:eastAsia="zh-CN"/>
        </w:rPr>
      </w:pPr>
      <w:r>
        <w:rPr>
          <w:rFonts w:hint="eastAsia"/>
          <w:color w:val="auto"/>
          <w:lang w:val="en-US" w:eastAsia="zh-CN"/>
        </w:rPr>
        <w:t>（6）其他要求：</w:t>
      </w:r>
    </w:p>
    <w:p>
      <w:pPr>
        <w:pStyle w:val="4"/>
        <w:numPr>
          <w:ilvl w:val="0"/>
          <w:numId w:val="0"/>
        </w:numPr>
        <w:ind w:firstLine="840" w:firstLineChars="300"/>
        <w:rPr>
          <w:rFonts w:hint="eastAsia"/>
          <w:color w:val="auto"/>
          <w:lang w:val="en-US" w:eastAsia="zh-CN"/>
        </w:rPr>
      </w:pPr>
      <w:r>
        <w:rPr>
          <w:rFonts w:hint="eastAsia"/>
          <w:color w:val="auto"/>
          <w:lang w:val="en-US" w:eastAsia="zh-CN"/>
        </w:rPr>
        <w:t>供电条件：380V±10%、50Hz、3N；</w:t>
      </w:r>
    </w:p>
    <w:p>
      <w:pPr>
        <w:pStyle w:val="4"/>
        <w:numPr>
          <w:ilvl w:val="0"/>
          <w:numId w:val="0"/>
        </w:numPr>
        <w:ind w:firstLine="840" w:firstLineChars="300"/>
        <w:rPr>
          <w:rFonts w:hint="eastAsia"/>
          <w:color w:val="auto"/>
          <w:lang w:val="en-US" w:eastAsia="zh-CN"/>
        </w:rPr>
      </w:pPr>
      <w:r>
        <w:rPr>
          <w:rFonts w:hint="eastAsia"/>
          <w:color w:val="auto"/>
          <w:lang w:val="en-US" w:eastAsia="zh-CN"/>
        </w:rPr>
        <w:t>压缩空气：工作压力为0.4-0.5Mpa；</w:t>
      </w:r>
    </w:p>
    <w:p>
      <w:pPr>
        <w:pStyle w:val="4"/>
        <w:numPr>
          <w:ilvl w:val="0"/>
          <w:numId w:val="0"/>
        </w:numPr>
        <w:ind w:firstLine="840" w:firstLineChars="300"/>
        <w:rPr>
          <w:rFonts w:hint="eastAsia"/>
          <w:color w:val="auto"/>
          <w:lang w:val="en-US" w:eastAsia="zh-CN"/>
        </w:rPr>
      </w:pPr>
      <w:r>
        <w:rPr>
          <w:rFonts w:hint="eastAsia"/>
          <w:color w:val="auto"/>
          <w:lang w:val="en-US" w:eastAsia="zh-CN"/>
        </w:rPr>
        <w:t>环境温度：-5～40℃；</w:t>
      </w:r>
    </w:p>
    <w:p>
      <w:pPr>
        <w:pStyle w:val="4"/>
        <w:numPr>
          <w:ilvl w:val="0"/>
          <w:numId w:val="0"/>
        </w:numPr>
        <w:ind w:firstLine="840" w:firstLineChars="300"/>
        <w:rPr>
          <w:rFonts w:hint="eastAsia"/>
          <w:color w:val="auto"/>
          <w:lang w:val="en-US" w:eastAsia="zh-CN"/>
        </w:rPr>
      </w:pPr>
      <w:r>
        <w:rPr>
          <w:rFonts w:hint="eastAsia"/>
          <w:color w:val="auto"/>
          <w:lang w:val="en-US" w:eastAsia="zh-CN"/>
        </w:rPr>
        <w:t>工作制度：24小时工作制；</w:t>
      </w:r>
    </w:p>
    <w:p>
      <w:pPr>
        <w:pStyle w:val="3"/>
        <w:numPr>
          <w:ilvl w:val="0"/>
          <w:numId w:val="1"/>
        </w:numPr>
      </w:pPr>
      <w:r>
        <w:rPr>
          <w:rFonts w:hint="eastAsia"/>
        </w:rPr>
        <w:t>投标要求：</w:t>
      </w:r>
    </w:p>
    <w:p>
      <w:pPr>
        <w:pStyle w:val="4"/>
        <w:numPr>
          <w:ilvl w:val="0"/>
          <w:numId w:val="4"/>
        </w:numPr>
      </w:pPr>
      <w:r>
        <w:t>投标</w:t>
      </w:r>
      <w:r>
        <w:rPr>
          <w:rFonts w:hint="eastAsia"/>
          <w:lang w:eastAsia="zh-CN"/>
        </w:rPr>
        <w:t>文件</w:t>
      </w:r>
      <w:r>
        <w:t>应对</w:t>
      </w:r>
      <w:r>
        <w:rPr>
          <w:rFonts w:hint="eastAsia"/>
          <w:lang w:eastAsia="zh-CN"/>
        </w:rPr>
        <w:t>机床</w:t>
      </w:r>
      <w:r>
        <w:t>的结构、</w:t>
      </w:r>
      <w:r>
        <w:rPr>
          <w:rFonts w:hint="eastAsia"/>
          <w:lang w:eastAsia="zh-CN"/>
        </w:rPr>
        <w:t>功</w:t>
      </w:r>
      <w:r>
        <w:t>能、特点及技术参数做详细描述；</w:t>
      </w:r>
    </w:p>
    <w:p>
      <w:pPr>
        <w:pStyle w:val="4"/>
        <w:numPr>
          <w:ilvl w:val="0"/>
          <w:numId w:val="4"/>
        </w:numPr>
      </w:pPr>
      <w:r>
        <w:t>投标时提供一份设备的</w:t>
      </w:r>
      <w:r>
        <w:rPr>
          <w:rFonts w:hint="eastAsia"/>
          <w:lang w:eastAsia="zh-CN"/>
        </w:rPr>
        <w:t>整体方案图、</w:t>
      </w:r>
      <w:r>
        <w:t>基础图。</w:t>
      </w:r>
    </w:p>
    <w:p>
      <w:pPr>
        <w:pStyle w:val="4"/>
        <w:numPr>
          <w:ilvl w:val="0"/>
          <w:numId w:val="4"/>
        </w:numPr>
      </w:pPr>
      <w:r>
        <w:t>投标时，投标方如果有优于本招标</w:t>
      </w:r>
      <w:r>
        <w:rPr>
          <w:rFonts w:hint="eastAsia"/>
          <w:lang w:eastAsia="zh-CN"/>
        </w:rPr>
        <w:t>要求</w:t>
      </w:r>
      <w:r>
        <w:t>的</w:t>
      </w:r>
      <w:r>
        <w:rPr>
          <w:rFonts w:hint="eastAsia"/>
          <w:lang w:eastAsia="zh-CN"/>
        </w:rPr>
        <w:t>方案</w:t>
      </w:r>
      <w:r>
        <w:t>，可在本招标文件技术要求中表述。</w:t>
      </w:r>
    </w:p>
    <w:p>
      <w:pPr>
        <w:pStyle w:val="4"/>
        <w:numPr>
          <w:ilvl w:val="0"/>
          <w:numId w:val="4"/>
        </w:numPr>
        <w:rPr>
          <w:rFonts w:hint="eastAsia"/>
        </w:rPr>
      </w:pPr>
      <w:r>
        <w:t>投标时提</w:t>
      </w:r>
      <w:r>
        <w:rPr>
          <w:rFonts w:hint="eastAsia"/>
        </w:rPr>
        <w:t>供外购配套件清单，须注明名称、规格型号、生产厂家。</w:t>
      </w:r>
    </w:p>
    <w:p>
      <w:pPr>
        <w:pStyle w:val="4"/>
        <w:numPr>
          <w:ilvl w:val="0"/>
          <w:numId w:val="5"/>
        </w:numPr>
        <w:ind w:left="700" w:leftChars="0" w:hanging="420" w:firstLineChars="0"/>
        <w:rPr>
          <w:rFonts w:hint="eastAsia"/>
          <w:color w:val="auto"/>
        </w:rPr>
      </w:pPr>
      <w:r>
        <w:rPr>
          <w:rFonts w:hint="eastAsia"/>
        </w:rPr>
        <w:t>本项目卖方负责设备供货</w:t>
      </w:r>
      <w:r>
        <w:rPr>
          <w:rFonts w:hint="eastAsia"/>
          <w:lang w:eastAsia="zh-CN"/>
        </w:rPr>
        <w:t>、指导安装、</w:t>
      </w:r>
      <w:r>
        <w:rPr>
          <w:rFonts w:hint="eastAsia"/>
        </w:rPr>
        <w:t>调试直至终验收</w:t>
      </w:r>
      <w:r>
        <w:rPr>
          <w:rFonts w:hint="eastAsia"/>
          <w:lang w:eastAsia="zh-CN"/>
        </w:rPr>
        <w:t>，并提供土建安装所需要求条件</w:t>
      </w:r>
      <w:r>
        <w:rPr>
          <w:rFonts w:hint="eastAsia"/>
        </w:rPr>
        <w:t>。</w:t>
      </w:r>
    </w:p>
    <w:p>
      <w:pPr>
        <w:pStyle w:val="14"/>
        <w:numPr>
          <w:ilvl w:val="0"/>
          <w:numId w:val="1"/>
        </w:numPr>
        <w:spacing w:line="480" w:lineRule="exact"/>
        <w:ind w:firstLineChars="0"/>
        <w:rPr>
          <w:rFonts w:ascii="宋体" w:hAnsi="宋体" w:cs="宋体"/>
          <w:b/>
          <w:color w:val="000000"/>
          <w:kern w:val="44"/>
          <w:szCs w:val="28"/>
        </w:rPr>
      </w:pPr>
      <w:r>
        <w:rPr>
          <w:rFonts w:hint="eastAsia" w:ascii="宋体" w:hAnsi="宋体" w:cs="宋体"/>
          <w:b/>
          <w:color w:val="000000"/>
          <w:kern w:val="44"/>
          <w:szCs w:val="28"/>
        </w:rPr>
        <w:t>质量保证：</w:t>
      </w:r>
    </w:p>
    <w:p>
      <w:pPr>
        <w:pStyle w:val="4"/>
        <w:ind w:firstLine="565" w:firstLineChars="202"/>
      </w:pPr>
      <w:r>
        <w:rPr>
          <w:rFonts w:hint="eastAsia"/>
        </w:rPr>
        <w:t>1、在质保期内因设备质量问题造成的设备故障和零部件损坏，供方应无条件维修或更换。</w:t>
      </w:r>
    </w:p>
    <w:p>
      <w:pPr>
        <w:pStyle w:val="4"/>
        <w:ind w:firstLine="565" w:firstLineChars="202"/>
      </w:pPr>
      <w:r>
        <w:rPr>
          <w:rFonts w:hint="eastAsia"/>
        </w:rPr>
        <w:t>2、产品保修期一年；</w:t>
      </w:r>
    </w:p>
    <w:p>
      <w:pPr>
        <w:pStyle w:val="4"/>
        <w:ind w:firstLine="565" w:firstLineChars="202"/>
      </w:pPr>
      <w:r>
        <w:rPr>
          <w:rFonts w:hint="eastAsia"/>
        </w:rPr>
        <w:t>3、质保期满后，供方应保证对设备的备件、易损件按投标时的报价优惠供应。</w:t>
      </w:r>
    </w:p>
    <w:p>
      <w:pPr>
        <w:pStyle w:val="4"/>
        <w:ind w:firstLine="565" w:firstLineChars="202"/>
      </w:pPr>
      <w:r>
        <w:rPr>
          <w:rFonts w:hint="eastAsia"/>
        </w:rPr>
        <w:t>4、产品出现故障需方要在8小时内给予响应，应需方要求，对于需方生产过程中损坏的零部件,供方必须在24小时内以电子邮件的方式提供其相应零部件图纸</w:t>
      </w:r>
      <w:r>
        <w:rPr>
          <w:rFonts w:hint="eastAsia"/>
          <w:lang w:eastAsia="zh-CN"/>
        </w:rPr>
        <w:t>及技术资料</w:t>
      </w:r>
      <w:r>
        <w:rPr>
          <w:rFonts w:hint="eastAsia"/>
        </w:rPr>
        <w:t>，以便需方修复设备、如果故障还未能解决，需方24小时内派人到达现场进行维修，及时排除故障恢复生产。</w:t>
      </w:r>
    </w:p>
    <w:p>
      <w:pPr>
        <w:pStyle w:val="4"/>
        <w:ind w:firstLine="565" w:firstLineChars="202"/>
      </w:pPr>
      <w:r>
        <w:rPr>
          <w:rFonts w:hint="eastAsia"/>
        </w:rPr>
        <w:t>5、供方免费调试</w:t>
      </w:r>
      <w:r>
        <w:rPr>
          <w:rFonts w:hint="eastAsia"/>
          <w:lang w:eastAsia="zh-CN"/>
        </w:rPr>
        <w:t>和指导安装</w:t>
      </w:r>
      <w:r>
        <w:rPr>
          <w:rFonts w:hint="eastAsia"/>
        </w:rPr>
        <w:t>，保修壹年、</w:t>
      </w:r>
      <w:r>
        <w:rPr>
          <w:rFonts w:hint="eastAsia"/>
          <w:lang w:eastAsia="zh-CN"/>
        </w:rPr>
        <w:t>并保修期满后</w:t>
      </w:r>
      <w:r>
        <w:rPr>
          <w:rFonts w:hint="eastAsia"/>
        </w:rPr>
        <w:t>终身有偿服务。</w:t>
      </w:r>
    </w:p>
    <w:p>
      <w:pPr>
        <w:pStyle w:val="4"/>
        <w:ind w:firstLine="565" w:firstLineChars="202"/>
      </w:pPr>
      <w:r>
        <w:rPr>
          <w:rFonts w:hint="eastAsia"/>
        </w:rPr>
        <w:t>6、保证对设备的备件、易损件实行优惠价供应。</w:t>
      </w:r>
    </w:p>
    <w:p>
      <w:pPr>
        <w:pStyle w:val="4"/>
        <w:ind w:firstLine="565" w:firstLineChars="202"/>
      </w:pPr>
      <w:r>
        <w:rPr>
          <w:rFonts w:hint="eastAsia"/>
        </w:rPr>
        <w:t>7、质保期：自设备投入使用起计算12个月。</w:t>
      </w:r>
    </w:p>
    <w:p>
      <w:pPr>
        <w:pStyle w:val="3"/>
        <w:numPr>
          <w:ilvl w:val="0"/>
          <w:numId w:val="1"/>
        </w:numPr>
      </w:pPr>
      <w:r>
        <w:rPr>
          <w:rFonts w:hint="eastAsia"/>
        </w:rPr>
        <w:t>备品备件</w:t>
      </w:r>
    </w:p>
    <w:p>
      <w:pPr>
        <w:pStyle w:val="4"/>
        <w:ind w:firstLine="565" w:firstLineChars="202"/>
        <w:rPr>
          <w:rFonts w:hint="eastAsia" w:eastAsia="宋体"/>
          <w:lang w:eastAsia="zh-CN"/>
        </w:rPr>
      </w:pPr>
      <w:r>
        <w:rPr>
          <w:rFonts w:hint="eastAsia"/>
        </w:rPr>
        <w:t>提供设备标准配置备件</w:t>
      </w:r>
      <w:r>
        <w:rPr>
          <w:rFonts w:hint="eastAsia"/>
          <w:lang w:eastAsia="zh-CN"/>
        </w:rPr>
        <w:t>一套及</w:t>
      </w:r>
      <w:r>
        <w:rPr>
          <w:rFonts w:hint="eastAsia"/>
        </w:rPr>
        <w:t>易损件清单</w:t>
      </w:r>
      <w:r>
        <w:rPr>
          <w:rFonts w:hint="eastAsia"/>
          <w:lang w:eastAsia="zh-CN"/>
        </w:rPr>
        <w:t>，非标易损件图纸</w:t>
      </w:r>
      <w:r>
        <w:rPr>
          <w:rFonts w:hint="eastAsia"/>
        </w:rPr>
        <w:t>。易损件清单须注明名称、规格型号、数量、优惠单价及生产厂家和公司</w:t>
      </w:r>
      <w:r>
        <w:rPr>
          <w:rFonts w:hint="eastAsia"/>
          <w:lang w:eastAsia="zh-CN"/>
        </w:rPr>
        <w:t>。</w:t>
      </w:r>
    </w:p>
    <w:p>
      <w:pPr>
        <w:pStyle w:val="14"/>
        <w:numPr>
          <w:ilvl w:val="0"/>
          <w:numId w:val="1"/>
        </w:numPr>
        <w:spacing w:line="480" w:lineRule="exact"/>
        <w:ind w:firstLineChars="0"/>
        <w:rPr>
          <w:rFonts w:ascii="宋体" w:hAnsi="宋体" w:cs="宋体"/>
          <w:b/>
          <w:color w:val="000000"/>
          <w:kern w:val="44"/>
          <w:szCs w:val="28"/>
        </w:rPr>
      </w:pPr>
      <w:r>
        <w:rPr>
          <w:rFonts w:hint="eastAsia" w:ascii="宋体" w:hAnsi="宋体" w:cs="宋体"/>
          <w:b/>
          <w:color w:val="000000"/>
          <w:kern w:val="44"/>
          <w:szCs w:val="28"/>
        </w:rPr>
        <w:t>技术服务与培训：</w:t>
      </w:r>
    </w:p>
    <w:p>
      <w:pPr>
        <w:pStyle w:val="6"/>
        <w:numPr>
          <w:ilvl w:val="0"/>
          <w:numId w:val="6"/>
        </w:numPr>
        <w:ind w:right="-115" w:rightChars="-41"/>
      </w:pPr>
      <w:r>
        <w:rPr>
          <w:rFonts w:hint="eastAsia"/>
        </w:rPr>
        <w:t>供方免费为需方培训设备生产、维护技术人员各2～4人；</w:t>
      </w:r>
    </w:p>
    <w:p>
      <w:pPr>
        <w:pStyle w:val="6"/>
        <w:numPr>
          <w:ilvl w:val="0"/>
          <w:numId w:val="6"/>
        </w:numPr>
        <w:ind w:right="-115" w:rightChars="-41"/>
      </w:pPr>
      <w:r>
        <w:rPr>
          <w:rFonts w:hint="eastAsia"/>
        </w:rPr>
        <w:t>培训内容了解设备的使用常识、技术原理和维护知识，掌握处理一般故障的基本技能；培训时间：</w:t>
      </w:r>
      <w:r>
        <w:rPr>
          <w:rFonts w:hint="eastAsia"/>
          <w:lang w:val="en-US" w:eastAsia="zh-CN"/>
        </w:rPr>
        <w:t>10</w:t>
      </w:r>
      <w:r>
        <w:rPr>
          <w:rFonts w:hint="eastAsia"/>
        </w:rPr>
        <w:t>天；</w:t>
      </w:r>
    </w:p>
    <w:p>
      <w:r>
        <w:rPr>
          <w:rFonts w:hint="eastAsia"/>
        </w:rPr>
        <w:t>培训步骤：a.在需方生产现场学习设备的基本构造原理及</w:t>
      </w:r>
      <w:r>
        <w:rPr>
          <w:rFonts w:hint="eastAsia"/>
          <w:lang w:eastAsia="zh-CN"/>
        </w:rPr>
        <w:t>结构</w:t>
      </w:r>
      <w:r>
        <w:rPr>
          <w:rFonts w:hint="eastAsia"/>
        </w:rPr>
        <w:t>； b.在需方生产现场学习设备的基本使用方法；c.需方派人参与所购设备</w:t>
      </w:r>
      <w:r>
        <w:rPr>
          <w:rFonts w:hint="eastAsia"/>
          <w:lang w:eastAsia="zh-CN"/>
        </w:rPr>
        <w:t>的安装指导</w:t>
      </w:r>
      <w:r>
        <w:rPr>
          <w:rFonts w:hint="eastAsia"/>
        </w:rPr>
        <w:t>和调试，了解设备的工作原理、一般故障排除方法。</w:t>
      </w:r>
      <w:r>
        <w:rPr>
          <w:rFonts w:hint="eastAsia"/>
          <w:lang w:eastAsia="zh-CN"/>
        </w:rPr>
        <w:t>并在安装调试后以实际操作本机加工工件的方式培训到岗位能正常操作机床加工产品。</w:t>
      </w:r>
    </w:p>
    <w:sectPr>
      <w:footerReference r:id="rId8" w:type="first"/>
      <w:headerReference r:id="rId5" w:type="default"/>
      <w:footerReference r:id="rId6" w:type="default"/>
      <w:footerReference r:id="rId7" w:type="even"/>
      <w:pgSz w:w="11906" w:h="16838" w:orient="landscape"/>
      <w:pgMar w:top="1520" w:right="1134" w:bottom="1140" w:left="1418" w:header="947" w:footer="663" w:gutter="0"/>
      <w:cols w:space="720" w:num="1"/>
      <w:titlePg/>
      <w:docGrid w:linePitch="38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rPr>
        <w:rStyle w:val="11"/>
      </w:rP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353185" cy="193040"/>
              <wp:effectExtent l="0" t="0" r="0" b="0"/>
              <wp:wrapNone/>
              <wp:docPr id="4097" name="文本框 6"/>
              <wp:cNvGraphicFramePr/>
              <a:graphic xmlns:a="http://schemas.openxmlformats.org/drawingml/2006/main">
                <a:graphicData uri="http://schemas.microsoft.com/office/word/2010/wordprocessingShape">
                  <wps:wsp>
                    <wps:cNvSpPr/>
                    <wps:spPr>
                      <a:xfrm>
                        <a:off x="0" y="0"/>
                        <a:ext cx="1353185" cy="193040"/>
                      </a:xfrm>
                      <a:prstGeom prst="rect">
                        <a:avLst/>
                      </a:prstGeom>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wps:txbx>
                    <wps:bodyPr vert="horz" wrap="square" lIns="0" tIns="0" rIns="0" bIns="0" anchor="t" upright="1">
                      <a:noAutofit/>
                    </wps:bodyPr>
                  </wps:wsp>
                </a:graphicData>
              </a:graphic>
            </wp:anchor>
          </w:drawing>
        </mc:Choice>
        <mc:Fallback>
          <w:pict>
            <v:rect id="文本框 6" o:spid="_x0000_s1026" o:spt="1" style="position:absolute;left:0pt;margin-top:0pt;height:15.2pt;width:106.55pt;mso-position-horizontal:center;mso-position-horizontal-relative:margin;z-index:251659264;mso-width-relative:page;mso-height-relative:page;" filled="f" stroked="f" coordsize="21600,21600" o:gfxdata="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HT/Zc1gAAAAQBAAAPAAAAAAAA&#10;AAEAIAAAACIAAABkcnMvZG93bnJldi54bWxQSwECFAAUAAAACACHTuJAR8E1+dsBAACfAwAADgAA&#10;AAAAAAABACAAAAAlAQAAZHJzL2Uyb0RvYy54bWxQSwUGAAAAAAYABgBZAQAAcgUAAAAA&#10;">
              <v:fill on="f" focussize="0,0"/>
              <v:stroke on="f"/>
              <v:imagedata o:title=""/>
              <o:lock v:ext="edit" aspectratio="f"/>
              <v:textbox inset="0mm,0mm,0mm,0mm">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v:textbox>
            </v:rect>
          </w:pict>
        </mc:Fallback>
      </mc:AlternateConten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889635" cy="265430"/>
              <wp:effectExtent l="0" t="0" r="0" b="0"/>
              <wp:wrapNone/>
              <wp:docPr id="4098" name="文本框 5"/>
              <wp:cNvGraphicFramePr/>
              <a:graphic xmlns:a="http://schemas.openxmlformats.org/drawingml/2006/main">
                <a:graphicData uri="http://schemas.microsoft.com/office/word/2010/wordprocessingShape">
                  <wps:wsp>
                    <wps:cNvSpPr/>
                    <wps:spPr>
                      <a:xfrm>
                        <a:off x="0" y="0"/>
                        <a:ext cx="889635" cy="265430"/>
                      </a:xfrm>
                      <a:prstGeom prst="rect">
                        <a:avLst/>
                      </a:prstGeom>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wps:txbx>
                    <wps:bodyPr vert="horz" wrap="none" lIns="0" tIns="0" rIns="0" bIns="0" anchor="t" upright="1">
                      <a:spAutoFit/>
                    </wps:bodyPr>
                  </wps:wsp>
                </a:graphicData>
              </a:graphic>
            </wp:anchor>
          </w:drawing>
        </mc:Choice>
        <mc:Fallback>
          <w:pict>
            <v:rect id="文本框 5" o:spid="_x0000_s1026" o:spt="1" style="position:absolute;left:0pt;margin-top:0pt;height:20.9pt;width:70.05pt;mso-position-horizontal:center;mso-position-horizontal-relative:margin;mso-wrap-style:none;z-index:251659264;mso-width-relative:page;mso-height-relative:page;" filled="f" stroked="f" coordsize="21600,21600" o:gfxdata="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Tjk+nSAAAABAEAAA8AAAAAAAAAAQAgAAAA&#10;IgAAAGRycy9kb3ducmV2LnhtbFBLAQIUABQAAAAIAIdO4kDhqrl72AEAAJwDAAAOAAAAAAAAAAEA&#10;IAAAACEBAABkcnMvZTJvRG9jLnhtbFBLBQYAAAAABgAGAFkBAABr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Cs w:val="18"/>
      </w:rPr>
    </w:pPr>
    <w:r>
      <w:rPr>
        <w:rFonts w:hint="eastAsia" w:ascii="楷体_GB2312"/>
        <w:color w:val="000000"/>
        <w:sz w:val="18"/>
        <w:szCs w:val="18"/>
        <w:u w:val="single"/>
        <w:lang w:eastAsia="zh-CN"/>
      </w:rPr>
      <w:t>芜湖</w:t>
    </w:r>
    <w:r>
      <w:rPr>
        <w:rFonts w:hint="eastAsia" w:ascii="楷体_GB2312" w:eastAsia="楷体_GB2312"/>
        <w:color w:val="000000"/>
        <w:sz w:val="18"/>
        <w:szCs w:val="18"/>
        <w:u w:val="single"/>
      </w:rPr>
      <w:t>新兴</w:t>
    </w:r>
    <w:r>
      <w:rPr>
        <w:rFonts w:hint="eastAsia" w:ascii="楷体_GB2312" w:eastAsia="楷体_GB2312"/>
        <w:color w:val="000000"/>
        <w:sz w:val="18"/>
        <w:szCs w:val="18"/>
        <w:u w:val="single"/>
        <w:lang w:eastAsia="zh-CN"/>
      </w:rPr>
      <w:t>铸管</w:t>
    </w:r>
    <w:r>
      <w:rPr>
        <w:rFonts w:hint="eastAsia" w:ascii="楷体_GB2312" w:eastAsia="楷体_GB2312"/>
        <w:color w:val="000000"/>
        <w:sz w:val="18"/>
        <w:szCs w:val="18"/>
        <w:u w:val="single"/>
      </w:rPr>
      <w:t>有限责任公</w:t>
    </w:r>
    <w:r>
      <w:rPr>
        <w:rFonts w:hint="eastAsia" w:ascii="楷体_GB2312"/>
        <w:color w:val="000000"/>
        <w:sz w:val="18"/>
        <w:szCs w:val="18"/>
        <w:u w:val="single"/>
        <w:lang w:eastAsia="zh-CN"/>
      </w:rPr>
      <w:t>司立车设备</w:t>
    </w:r>
    <w:r>
      <w:rPr>
        <w:rFonts w:ascii="楷体_GB2312" w:eastAsia="楷体_GB2312"/>
        <w:color w:val="000000"/>
        <w:sz w:val="18"/>
        <w:szCs w:val="18"/>
        <w:u w:val="single"/>
      </w:rPr>
      <w:t>－技术要求</w:t>
    </w:r>
    <w:r>
      <w:rPr>
        <w:rFonts w:hint="eastAsia" w:ascii="楷体_GB2312" w:eastAsia="楷体_GB2312"/>
        <w:color w:val="000000"/>
        <w:sz w:val="18"/>
        <w:szCs w:val="18"/>
        <w:u w:val="single"/>
      </w:rPr>
      <w:t xml:space="preserve">  </w:t>
    </w:r>
    <w:r>
      <w:rPr>
        <w:rFonts w:hint="eastAsia" w:ascii="楷体_GB2312" w:eastAsia="楷体_GB2312"/>
        <w:color w:val="000000"/>
        <w:sz w:val="18"/>
        <w:szCs w:val="18"/>
        <w:u w:val="single"/>
        <w:lang w:val="en-US" w:eastAsia="zh-CN"/>
      </w:rPr>
      <w:t xml:space="preserve">                   </w:t>
    </w:r>
    <w:r>
      <w:rPr>
        <w:rFonts w:hint="eastAsia" w:ascii="楷体_GB2312" w:eastAsia="楷体_GB2312"/>
        <w:color w:val="000000"/>
        <w:sz w:val="18"/>
        <w:szCs w:val="18"/>
        <w:u w:val="single"/>
      </w:rPr>
      <w:t xml:space="preserve">                    第 </w:t>
    </w:r>
    <w:r>
      <w:rPr>
        <w:rFonts w:hint="eastAsia" w:ascii="楷体_GB2312" w:eastAsia="楷体_GB2312"/>
        <w:color w:val="000000"/>
        <w:sz w:val="18"/>
        <w:szCs w:val="18"/>
        <w:u w:val="single"/>
      </w:rPr>
      <w:fldChar w:fldCharType="begin"/>
    </w:r>
    <w:r>
      <w:rPr>
        <w:rFonts w:hint="eastAsia" w:ascii="楷体_GB2312" w:eastAsia="楷体_GB2312"/>
        <w:color w:val="000000"/>
        <w:sz w:val="18"/>
        <w:szCs w:val="18"/>
        <w:u w:val="single"/>
      </w:rPr>
      <w:instrText xml:space="preserve"> PAGE </w:instrText>
    </w:r>
    <w:r>
      <w:rPr>
        <w:rFonts w:hint="eastAsia" w:ascii="楷体_GB2312" w:eastAsia="楷体_GB2312"/>
        <w:color w:val="000000"/>
        <w:sz w:val="18"/>
        <w:szCs w:val="18"/>
        <w:u w:val="single"/>
      </w:rPr>
      <w:fldChar w:fldCharType="separate"/>
    </w:r>
    <w:r>
      <w:rPr>
        <w:rFonts w:ascii="楷体_GB2312" w:eastAsia="楷体_GB2312"/>
        <w:color w:val="000000"/>
        <w:sz w:val="18"/>
        <w:szCs w:val="18"/>
        <w:u w:val="single"/>
      </w:rPr>
      <w:t>5</w:t>
    </w:r>
    <w:r>
      <w:rPr>
        <w:rFonts w:hint="eastAsia" w:ascii="楷体_GB2312" w:eastAsia="楷体_GB2312"/>
        <w:color w:val="000000"/>
        <w:sz w:val="18"/>
        <w:szCs w:val="18"/>
        <w:u w:val="single"/>
      </w:rPr>
      <w:fldChar w:fldCharType="end"/>
    </w:r>
    <w:r>
      <w:rPr>
        <w:rFonts w:hint="eastAsia" w:ascii="楷体_GB2312" w:eastAsia="楷体_GB2312"/>
        <w:color w:val="000000"/>
        <w:sz w:val="18"/>
        <w:szCs w:val="18"/>
        <w:u w:val="single"/>
      </w:rPr>
      <w:t xml:space="preserve"> 页 共</w:t>
    </w:r>
    <w:r>
      <w:rPr>
        <w:rFonts w:hint="eastAsia" w:eastAsia="楷体_GB2312"/>
        <w:color w:val="000000"/>
        <w:sz w:val="18"/>
        <w:szCs w:val="18"/>
        <w:u w:val="single"/>
        <w:lang w:val="en-US" w:eastAsia="zh-CN"/>
      </w:rPr>
      <w:t>3</w:t>
    </w:r>
    <w:r>
      <w:rPr>
        <w:rFonts w:hint="eastAsia" w:ascii="楷体_GB2312" w:eastAsia="楷体_GB2312"/>
        <w:color w:val="000000"/>
        <w:sz w:val="18"/>
        <w:szCs w:val="18"/>
        <w:u w:val="single"/>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9979A"/>
    <w:multiLevelType w:val="multilevel"/>
    <w:tmpl w:val="8939979A"/>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8B62F7CA"/>
    <w:multiLevelType w:val="singleLevel"/>
    <w:tmpl w:val="8B62F7CA"/>
    <w:lvl w:ilvl="0" w:tentative="0">
      <w:start w:val="1"/>
      <w:numFmt w:val="decimal"/>
      <w:suff w:val="nothing"/>
      <w:lvlText w:val="%1、"/>
      <w:lvlJc w:val="left"/>
    </w:lvl>
  </w:abstractNum>
  <w:abstractNum w:abstractNumId="2">
    <w:nsid w:val="AF363BEC"/>
    <w:multiLevelType w:val="multilevel"/>
    <w:tmpl w:val="AF363BEC"/>
    <w:lvl w:ilvl="0" w:tentative="0">
      <w:start w:val="1"/>
      <w:numFmt w:val="decimal"/>
      <w:lvlText w:val="%1、"/>
      <w:lvlJc w:val="left"/>
      <w:pPr>
        <w:ind w:left="700" w:hanging="420"/>
      </w:pPr>
      <w:rPr>
        <w:rFonts w:hint="default"/>
      </w:rPr>
    </w:lvl>
    <w:lvl w:ilvl="1" w:tentative="0">
      <w:start w:val="1"/>
      <w:numFmt w:val="lowerLetter"/>
      <w:lvlText w:val="%2)"/>
      <w:lvlJc w:val="left"/>
      <w:pPr>
        <w:ind w:left="1120" w:hanging="420"/>
      </w:pPr>
    </w:lvl>
    <w:lvl w:ilvl="2" w:tentative="0">
      <w:start w:val="1"/>
      <w:numFmt w:val="lowerRoman"/>
      <w:lvlText w:val="%3."/>
      <w:lvlJc w:val="right"/>
      <w:pPr>
        <w:ind w:left="1540" w:hanging="420"/>
      </w:pPr>
    </w:lvl>
    <w:lvl w:ilvl="3" w:tentative="0">
      <w:start w:val="1"/>
      <w:numFmt w:val="decimal"/>
      <w:lvlText w:val="%4."/>
      <w:lvlJc w:val="left"/>
      <w:pPr>
        <w:ind w:left="1960" w:hanging="420"/>
      </w:pPr>
    </w:lvl>
    <w:lvl w:ilvl="4" w:tentative="0">
      <w:start w:val="1"/>
      <w:numFmt w:val="lowerLetter"/>
      <w:lvlText w:val="%5)"/>
      <w:lvlJc w:val="left"/>
      <w:pPr>
        <w:ind w:left="2380" w:hanging="420"/>
      </w:pPr>
    </w:lvl>
    <w:lvl w:ilvl="5" w:tentative="0">
      <w:start w:val="1"/>
      <w:numFmt w:val="lowerRoman"/>
      <w:lvlText w:val="%6."/>
      <w:lvlJc w:val="right"/>
      <w:pPr>
        <w:ind w:left="2800" w:hanging="420"/>
      </w:pPr>
    </w:lvl>
    <w:lvl w:ilvl="6" w:tentative="0">
      <w:start w:val="1"/>
      <w:numFmt w:val="decimal"/>
      <w:lvlText w:val="%7."/>
      <w:lvlJc w:val="left"/>
      <w:pPr>
        <w:ind w:left="3220" w:hanging="420"/>
      </w:pPr>
    </w:lvl>
    <w:lvl w:ilvl="7" w:tentative="0">
      <w:start w:val="1"/>
      <w:numFmt w:val="lowerLetter"/>
      <w:lvlText w:val="%8)"/>
      <w:lvlJc w:val="left"/>
      <w:pPr>
        <w:ind w:left="3640" w:hanging="420"/>
      </w:pPr>
    </w:lvl>
    <w:lvl w:ilvl="8" w:tentative="0">
      <w:start w:val="1"/>
      <w:numFmt w:val="lowerRoman"/>
      <w:lvlText w:val="%9."/>
      <w:lvlJc w:val="right"/>
      <w:pPr>
        <w:ind w:left="4060" w:hanging="420"/>
      </w:pPr>
    </w:lvl>
  </w:abstractNum>
  <w:abstractNum w:abstractNumId="3">
    <w:nsid w:val="02EEF5BA"/>
    <w:multiLevelType w:val="singleLevel"/>
    <w:tmpl w:val="02EEF5BA"/>
    <w:lvl w:ilvl="0" w:tentative="0">
      <w:start w:val="1"/>
      <w:numFmt w:val="decimal"/>
      <w:suff w:val="nothing"/>
      <w:lvlText w:val="%1、"/>
      <w:lvlJc w:val="left"/>
    </w:lvl>
  </w:abstractNum>
  <w:abstractNum w:abstractNumId="4">
    <w:nsid w:val="0F49B836"/>
    <w:multiLevelType w:val="multilevel"/>
    <w:tmpl w:val="0F49B836"/>
    <w:lvl w:ilvl="0" w:tentative="0">
      <w:start w:val="1"/>
      <w:numFmt w:val="decimal"/>
      <w:lvlText w:val="%1、"/>
      <w:lvlJc w:val="left"/>
      <w:pPr>
        <w:ind w:left="986" w:hanging="420"/>
      </w:pPr>
      <w:rPr>
        <w:rFonts w:hint="eastAsia"/>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5">
    <w:nsid w:val="6A8D6013"/>
    <w:multiLevelType w:val="multilevel"/>
    <w:tmpl w:val="6A8D6013"/>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5178"/>
    <w:rsid w:val="08E01FE8"/>
    <w:rsid w:val="0F181A55"/>
    <w:rsid w:val="0FA86925"/>
    <w:rsid w:val="102D5D0B"/>
    <w:rsid w:val="1364777A"/>
    <w:rsid w:val="16F63EBD"/>
    <w:rsid w:val="17785EBE"/>
    <w:rsid w:val="23A0760C"/>
    <w:rsid w:val="2C076EBC"/>
    <w:rsid w:val="31CD10D6"/>
    <w:rsid w:val="38A21A69"/>
    <w:rsid w:val="3E8C3E89"/>
    <w:rsid w:val="40AB16A9"/>
    <w:rsid w:val="43F86C42"/>
    <w:rsid w:val="4D002401"/>
    <w:rsid w:val="51DB36F7"/>
    <w:rsid w:val="5634037E"/>
    <w:rsid w:val="564455A3"/>
    <w:rsid w:val="57471AB3"/>
    <w:rsid w:val="5E6866A7"/>
    <w:rsid w:val="64775932"/>
    <w:rsid w:val="6AD2386B"/>
    <w:rsid w:val="6ECD470B"/>
    <w:rsid w:val="70780588"/>
    <w:rsid w:val="727E6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uto"/>
      <w:jc w:val="both"/>
      <w:textAlignment w:val="baseline"/>
    </w:pPr>
    <w:rPr>
      <w:rFonts w:ascii="Times New Roman" w:hAnsi="Times New Roman" w:eastAsia="宋体" w:cs="Times New Roman"/>
      <w:kern w:val="0"/>
      <w:sz w:val="28"/>
      <w:szCs w:val="20"/>
      <w:lang w:val="en-US" w:eastAsia="zh-CN" w:bidi="ar-SA"/>
    </w:rPr>
  </w:style>
  <w:style w:type="paragraph" w:styleId="3">
    <w:name w:val="heading 1"/>
    <w:basedOn w:val="4"/>
    <w:next w:val="4"/>
    <w:qFormat/>
    <w:uiPriority w:val="0"/>
    <w:pPr>
      <w:keepNext/>
      <w:keepLines/>
      <w:ind w:firstLine="0"/>
      <w:outlineLvl w:val="0"/>
    </w:pPr>
    <w:rPr>
      <w:b/>
      <w:kern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spacing w:line="440" w:lineRule="exact"/>
      <w:ind w:firstLine="200" w:firstLineChars="200"/>
    </w:pPr>
    <w:rPr>
      <w:rFonts w:hint="eastAsia" w:ascii="宋体" w:hAnsi="Times New Roman" w:eastAsia="宋体" w:cs="Times New Roman"/>
      <w:color w:val="000000"/>
      <w:sz w:val="24"/>
      <w:lang w:val="en-US" w:eastAsia="zh-CN" w:bidi="ar-SA"/>
    </w:rPr>
  </w:style>
  <w:style w:type="paragraph" w:styleId="4">
    <w:name w:val="Body Text First Indent"/>
    <w:basedOn w:val="5"/>
    <w:qFormat/>
    <w:uiPriority w:val="0"/>
    <w:pPr>
      <w:ind w:firstLine="567"/>
    </w:pPr>
  </w:style>
  <w:style w:type="paragraph" w:styleId="5">
    <w:name w:val="Body Text"/>
    <w:basedOn w:val="1"/>
    <w:qFormat/>
    <w:uiPriority w:val="0"/>
  </w:style>
  <w:style w:type="paragraph" w:styleId="6">
    <w:name w:val="Body Text Indent"/>
    <w:basedOn w:val="1"/>
    <w:qFormat/>
    <w:uiPriority w:val="0"/>
    <w:pPr>
      <w:ind w:left="567"/>
    </w:pPr>
  </w:style>
  <w:style w:type="paragraph" w:styleId="7">
    <w:name w:val="footer"/>
    <w:basedOn w:val="1"/>
    <w:qFormat/>
    <w:uiPriority w:val="0"/>
    <w:pPr>
      <w:tabs>
        <w:tab w:val="center" w:pos="4153"/>
        <w:tab w:val="right" w:pos="8306"/>
      </w:tabs>
      <w:spacing w:line="240" w:lineRule="auto"/>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 w:type="paragraph" w:customStyle="1" w:styleId="12">
    <w:name w:val="列出段落1"/>
    <w:basedOn w:val="1"/>
    <w:qFormat/>
    <w:uiPriority w:val="0"/>
    <w:pPr>
      <w:ind w:firstLine="420" w:firstLineChars="200"/>
    </w:pPr>
  </w:style>
  <w:style w:type="paragraph" w:customStyle="1" w:styleId="13">
    <w:name w:val="p0"/>
    <w:basedOn w:val="1"/>
    <w:qFormat/>
    <w:uiPriority w:val="0"/>
    <w:pPr>
      <w:widowControl/>
    </w:pPr>
    <w:rPr>
      <w:kern w:val="0"/>
      <w:szCs w:val="21"/>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2021-05-07T07:57:00Z</dcterms:created>
  <dc:creator>Administrator</dc:creator>
  <cp:lastModifiedBy>Administrator</cp:lastModifiedBy>
  <dcterms:modified xsi:type="dcterms:W3CDTF">2021-06-11T01:20:18Z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B44CE48E27DB4A1BB3E8A030ADD82C93</vt:lpwstr>
  </property>
</Properties>
</file>