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低氮增碳剂</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6</w:t>
      </w:r>
      <w:r>
        <w:rPr>
          <w:rFonts w:hint="eastAsia"/>
          <w:color w:val="000000"/>
          <w:sz w:val="24"/>
          <w:szCs w:val="24"/>
        </w:rPr>
        <w:t>月</w:t>
      </w:r>
      <w:r>
        <w:rPr>
          <w:rFonts w:hint="eastAsia"/>
          <w:color w:val="000000"/>
          <w:sz w:val="24"/>
          <w:szCs w:val="24"/>
          <w:u w:val="single"/>
          <w:lang w:val="en-US" w:eastAsia="zh-CN"/>
        </w:rPr>
        <w:t>17</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WHXX</w:t>
      </w:r>
      <w:r>
        <w:rPr>
          <w:rFonts w:hint="eastAsia" w:ascii="宋体" w:hAnsi="宋体"/>
          <w:u w:val="single"/>
          <w:lang w:val="en-US" w:eastAsia="zh-CN"/>
        </w:rPr>
        <w:t>2021060012DDZTJ</w:t>
      </w:r>
      <w:bookmarkStart w:id="0" w:name="_GoBack"/>
      <w:bookmarkEnd w:id="0"/>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低氮增碳剂</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石宇</w:t>
      </w:r>
      <w:r>
        <w:rPr>
          <w:rFonts w:hint="eastAsia"/>
          <w:color w:val="2A2A2A"/>
          <w:sz w:val="24"/>
          <w:szCs w:val="24"/>
          <w:shd w:val="clear" w:color="auto" w:fill="FFFFFF"/>
        </w:rPr>
        <w:t>邮箱。</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招标办：       石  </w:t>
      </w:r>
      <w:r>
        <w:rPr>
          <w:rFonts w:hint="eastAsia" w:ascii="宋体" w:hAnsi="宋体" w:cs="Times New Roman"/>
          <w:kern w:val="2"/>
          <w:sz w:val="24"/>
          <w:szCs w:val="24"/>
          <w:lang w:val="en-US" w:eastAsia="zh-CN" w:bidi="ar-SA"/>
        </w:rPr>
        <w:t>工</w:t>
      </w:r>
      <w:r>
        <w:rPr>
          <w:rFonts w:hint="eastAsia" w:ascii="宋体" w:hAnsi="宋体" w:eastAsia="宋体" w:cs="Times New Roman"/>
          <w:kern w:val="2"/>
          <w:sz w:val="24"/>
          <w:szCs w:val="24"/>
          <w:lang w:val="en-US" w:eastAsia="zh-CN" w:bidi="ar-SA"/>
        </w:rPr>
        <w:t>  15255329626</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炉料部：     </w:t>
      </w:r>
      <w:r>
        <w:rPr>
          <w:rFonts w:hint="eastAsia" w:ascii="宋体" w:hAnsi="宋体" w:cs="Times New Roman"/>
          <w:kern w:val="2"/>
          <w:sz w:val="24"/>
          <w:szCs w:val="24"/>
          <w:lang w:val="en-US" w:eastAsia="zh-CN" w:bidi="ar-SA"/>
        </w:rPr>
        <w:t xml:space="preserve"> </w:t>
      </w:r>
      <w:r>
        <w:rPr>
          <w:rFonts w:hint="eastAsia" w:ascii="宋体" w:hAnsi="宋体" w:eastAsia="宋体" w:cs="Times New Roman"/>
          <w:kern w:val="2"/>
          <w:sz w:val="24"/>
          <w:szCs w:val="24"/>
          <w:lang w:val="en-US" w:eastAsia="zh-CN" w:bidi="ar-SA"/>
        </w:rPr>
        <w:t xml:space="preserve"> </w:t>
      </w:r>
      <w:r>
        <w:rPr>
          <w:rFonts w:hint="eastAsia" w:ascii="宋体" w:hAnsi="宋体" w:cs="Times New Roman"/>
          <w:kern w:val="2"/>
          <w:sz w:val="24"/>
          <w:szCs w:val="24"/>
          <w:lang w:val="en-US" w:eastAsia="zh-CN" w:bidi="ar-SA"/>
        </w:rPr>
        <w:t>何  工</w:t>
      </w:r>
      <w:r>
        <w:rPr>
          <w:rFonts w:hint="eastAsia" w:ascii="宋体" w:hAnsi="宋体" w:eastAsia="宋体" w:cs="Times New Roman"/>
          <w:kern w:val="2"/>
          <w:sz w:val="24"/>
          <w:szCs w:val="24"/>
          <w:lang w:val="en-US" w:eastAsia="zh-CN" w:bidi="ar-SA"/>
        </w:rPr>
        <w:t xml:space="preserve">    18955389358</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lang w:val="en-US" w:eastAsia="zh-CN"/>
        </w:rPr>
        <w:t>6</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24</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6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lang w:val="en-US" w:eastAsia="zh-CN"/>
        </w:rPr>
        <w:t xml:space="preserve"> </w:t>
      </w:r>
      <w:r>
        <w:rPr>
          <w:rFonts w:hint="eastAsia" w:ascii="宋体" w:hAnsi="宋体"/>
          <w:sz w:val="24"/>
          <w:szCs w:val="24"/>
          <w:u w:val="single"/>
          <w:lang w:val="en-US" w:eastAsia="zh-CN"/>
        </w:rPr>
        <w:t>28日</w:t>
      </w:r>
      <w:r>
        <w:rPr>
          <w:rFonts w:hint="eastAsia"/>
          <w:color w:val="2A2A2A"/>
          <w:sz w:val="24"/>
          <w:szCs w:val="24"/>
          <w:shd w:val="clear" w:color="auto" w:fill="FFFFFF"/>
          <w:lang w:val="en-US" w:eastAsia="zh-CN"/>
        </w:rPr>
        <w:t>下</w:t>
      </w:r>
      <w:r>
        <w:rPr>
          <w:rFonts w:hint="eastAsia"/>
          <w:color w:val="2A2A2A"/>
          <w:sz w:val="24"/>
          <w:szCs w:val="24"/>
          <w:shd w:val="clear" w:color="auto" w:fill="FFFFFF"/>
        </w:rPr>
        <w:t>午</w:t>
      </w:r>
      <w:r>
        <w:rPr>
          <w:rFonts w:hint="eastAsia"/>
          <w:color w:val="2A2A2A"/>
          <w:sz w:val="24"/>
          <w:szCs w:val="24"/>
          <w:u w:val="single"/>
          <w:shd w:val="clear" w:color="auto" w:fill="FFFFFF"/>
          <w:lang w:val="en-US" w:eastAsia="zh-CN"/>
        </w:rPr>
        <w:t>14:00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hint="eastAsia" w:ascii="宋体" w:hAnsi="宋体" w:eastAsia="宋体"/>
          <w:b/>
          <w:bCs/>
          <w:color w:val="4F81BD"/>
          <w:sz w:val="28"/>
          <w:szCs w:val="28"/>
          <w:lang w:val="en-US" w:eastAsia="zh-CN"/>
        </w:rPr>
      </w:pPr>
      <w:r>
        <w:rPr>
          <w:rFonts w:hint="eastAsia" w:ascii="宋体" w:hAnsi="宋体"/>
          <w:b/>
          <w:bCs/>
          <w:color w:val="4F81BD"/>
          <w:sz w:val="28"/>
          <w:szCs w:val="28"/>
        </w:rPr>
        <w:t>附件5：报价表</w:t>
      </w:r>
      <w:r>
        <w:rPr>
          <w:rFonts w:hint="eastAsia" w:ascii="宋体" w:hAnsi="宋体"/>
          <w:b/>
          <w:bCs/>
          <w:color w:val="4F81BD"/>
          <w:sz w:val="28"/>
          <w:szCs w:val="28"/>
          <w:lang w:val="en-US" w:eastAsia="zh-CN"/>
        </w:rPr>
        <w:t xml:space="preserve"> </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val="en-US" w:eastAsia="zh-CN"/>
        </w:rPr>
        <w:t>叁万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rPr>
        <w:t xml:space="preserve"> </w:t>
      </w:r>
      <w:r>
        <w:rPr>
          <w:rFonts w:hint="eastAsia" w:ascii="宋体" w:hAnsi="宋体"/>
          <w:sz w:val="24"/>
          <w:szCs w:val="24"/>
          <w:lang w:val="en-US" w:eastAsia="zh-CN"/>
        </w:rPr>
        <w:t xml:space="preserve">6 </w:t>
      </w:r>
      <w:r>
        <w:rPr>
          <w:rFonts w:hint="eastAsia" w:ascii="宋体" w:hAnsi="宋体"/>
          <w:bCs/>
          <w:color w:val="7030A0"/>
          <w:sz w:val="24"/>
          <w:szCs w:val="24"/>
        </w:rPr>
        <w:t>月</w:t>
      </w:r>
      <w:r>
        <w:rPr>
          <w:rFonts w:hint="eastAsia" w:ascii="宋体" w:hAnsi="宋体"/>
          <w:sz w:val="24"/>
          <w:szCs w:val="24"/>
          <w:lang w:val="en-US" w:eastAsia="zh-CN"/>
        </w:rPr>
        <w:t>24</w:t>
      </w:r>
      <w:r>
        <w:rPr>
          <w:rFonts w:hint="eastAsia" w:ascii="宋体" w:hAnsi="宋体"/>
          <w:bCs/>
          <w:color w:val="7030A0"/>
          <w:sz w:val="24"/>
          <w:szCs w:val="24"/>
        </w:rPr>
        <w:t>日</w:t>
      </w:r>
      <w:r>
        <w:rPr>
          <w:rFonts w:hint="eastAsia" w:ascii="宋体" w:hAnsi="宋体"/>
          <w:sz w:val="24"/>
          <w:szCs w:val="24"/>
          <w:lang w:val="en-US" w:eastAsia="zh-CN"/>
        </w:rPr>
        <w:t>16</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ind w:left="480"/>
        <w:rPr>
          <w:rFonts w:hint="default" w:ascii="宋体" w:hAnsi="宋体"/>
          <w:color w:val="FF0000"/>
          <w:sz w:val="24"/>
          <w:szCs w:val="24"/>
          <w:lang w:val="en-US" w:eastAsia="zh-CN"/>
        </w:rPr>
      </w:pPr>
      <w:r>
        <w:rPr>
          <w:rFonts w:hint="eastAsia" w:ascii="宋体" w:hAnsi="宋体"/>
          <w:color w:val="FF0000"/>
          <w:sz w:val="24"/>
          <w:szCs w:val="24"/>
          <w:lang w:val="en-US" w:eastAsia="zh-CN"/>
        </w:rPr>
        <w:t>3.标书需要胶装。</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hint="eastAsia" w:ascii="宋体" w:hAnsi="宋体"/>
          <w:color w:val="FF0000"/>
          <w:sz w:val="28"/>
          <w:szCs w:val="28"/>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w:t>
      </w:r>
      <w:r>
        <w:rPr>
          <w:rFonts w:hint="eastAsia" w:ascii="宋体" w:hAnsi="宋体"/>
          <w:sz w:val="24"/>
          <w:szCs w:val="24"/>
        </w:rPr>
        <w:t>0分,质量：</w:t>
      </w:r>
      <w:r>
        <w:rPr>
          <w:rFonts w:hint="eastAsia" w:ascii="宋体" w:hAnsi="宋体"/>
          <w:sz w:val="24"/>
          <w:szCs w:val="24"/>
          <w:lang w:val="en-US" w:eastAsia="zh-CN"/>
        </w:rPr>
        <w:t>4</w:t>
      </w:r>
      <w:r>
        <w:rPr>
          <w:rFonts w:hint="eastAsia" w:ascii="宋体" w:hAnsi="宋体"/>
          <w:sz w:val="24"/>
          <w:szCs w:val="24"/>
        </w:rPr>
        <w:t>0分,资质、装备及工艺技术水平、业绩状况：10分,服务、工期及资金状况：10分。</w:t>
      </w:r>
    </w:p>
    <w:p>
      <w:pPr>
        <w:rPr>
          <w:b/>
        </w:rPr>
      </w:pPr>
    </w:p>
    <w:p>
      <w:pPr>
        <w:numPr>
          <w:ilvl w:val="0"/>
          <w:numId w:val="7"/>
        </w:numPr>
        <w:rPr>
          <w:b/>
          <w:sz w:val="24"/>
          <w:szCs w:val="24"/>
        </w:rPr>
      </w:pPr>
      <w:r>
        <w:rPr>
          <w:rFonts w:hint="eastAsia"/>
          <w:b/>
          <w:sz w:val="24"/>
          <w:szCs w:val="24"/>
        </w:rPr>
        <w:t>其他要求</w:t>
      </w:r>
    </w:p>
    <w:p>
      <w:pPr>
        <w:numPr>
          <w:ilvl w:val="0"/>
          <w:numId w:val="8"/>
        </w:numPr>
        <w:spacing w:line="360" w:lineRule="auto"/>
        <w:ind w:firstLine="482" w:firstLineChars="200"/>
        <w:rPr>
          <w:rFonts w:hint="eastAsia" w:ascii="宋体" w:hAnsi="宋体"/>
          <w:b/>
          <w:color w:val="FF0000"/>
          <w:sz w:val="24"/>
          <w:szCs w:val="24"/>
        </w:rPr>
      </w:pPr>
      <w:r>
        <w:rPr>
          <w:rFonts w:hint="eastAsia" w:ascii="宋体" w:hAnsi="宋体"/>
          <w:b/>
          <w:color w:val="FF0000"/>
          <w:sz w:val="24"/>
          <w:szCs w:val="24"/>
          <w:lang w:val="en-US" w:eastAsia="zh-CN"/>
        </w:rPr>
        <w:t>满足</w:t>
      </w:r>
      <w:r>
        <w:rPr>
          <w:rFonts w:hint="eastAsia" w:ascii="宋体" w:hAnsi="宋体"/>
          <w:b/>
          <w:color w:val="FF0000"/>
          <w:sz w:val="24"/>
          <w:szCs w:val="24"/>
        </w:rPr>
        <w:t>业主单位生产使用要求</w:t>
      </w:r>
      <w:r>
        <w:rPr>
          <w:rFonts w:hint="eastAsia" w:ascii="宋体" w:hAnsi="宋体"/>
          <w:b/>
          <w:color w:val="FF0000"/>
          <w:sz w:val="24"/>
          <w:szCs w:val="24"/>
          <w:lang w:val="en-US" w:eastAsia="zh-CN"/>
        </w:rPr>
        <w:t>及附件技术要求</w:t>
      </w:r>
      <w:r>
        <w:rPr>
          <w:rFonts w:hint="eastAsia" w:ascii="宋体" w:hAnsi="宋体"/>
          <w:b/>
          <w:color w:val="FF0000"/>
          <w:sz w:val="24"/>
          <w:szCs w:val="24"/>
        </w:rPr>
        <w:t>。</w:t>
      </w:r>
    </w:p>
    <w:p>
      <w:pPr>
        <w:numPr>
          <w:ilvl w:val="0"/>
          <w:numId w:val="8"/>
        </w:numPr>
        <w:spacing w:line="360" w:lineRule="auto"/>
        <w:ind w:firstLine="482" w:firstLineChars="200"/>
        <w:rPr>
          <w:rFonts w:hint="eastAsia" w:ascii="宋体" w:hAnsi="宋体"/>
          <w:b/>
          <w:color w:val="FF0000"/>
          <w:sz w:val="24"/>
          <w:szCs w:val="24"/>
        </w:rPr>
      </w:pPr>
      <w:r>
        <w:rPr>
          <w:rFonts w:hint="eastAsia" w:ascii="宋体" w:hAnsi="宋体"/>
          <w:b/>
          <w:color w:val="FF0000"/>
          <w:sz w:val="24"/>
          <w:szCs w:val="24"/>
          <w:lang w:val="en-US" w:eastAsia="zh-CN"/>
        </w:rPr>
        <w:t>要求参标厂家，具备相应的生产能力。</w:t>
      </w:r>
    </w:p>
    <w:p>
      <w:pPr>
        <w:numPr>
          <w:ilvl w:val="0"/>
          <w:numId w:val="8"/>
        </w:numPr>
        <w:spacing w:line="360" w:lineRule="auto"/>
        <w:ind w:firstLine="482" w:firstLineChars="200"/>
        <w:rPr>
          <w:rFonts w:hint="eastAsia" w:ascii="宋体" w:hAnsi="宋体"/>
          <w:b/>
          <w:color w:val="FF0000"/>
          <w:sz w:val="24"/>
          <w:szCs w:val="24"/>
        </w:rPr>
      </w:pPr>
      <w:r>
        <w:rPr>
          <w:rFonts w:hint="eastAsia" w:ascii="宋体" w:hAnsi="宋体"/>
          <w:b/>
          <w:color w:val="FF0000"/>
          <w:sz w:val="24"/>
          <w:szCs w:val="24"/>
        </w:rPr>
        <w:t>本次招标招</w:t>
      </w:r>
      <w:r>
        <w:rPr>
          <w:rFonts w:hint="eastAsia" w:ascii="宋体" w:hAnsi="宋体"/>
          <w:b/>
          <w:color w:val="FF0000"/>
          <w:sz w:val="24"/>
          <w:szCs w:val="24"/>
          <w:lang w:val="en-US" w:eastAsia="zh-CN"/>
        </w:rPr>
        <w:t>三</w:t>
      </w:r>
      <w:r>
        <w:rPr>
          <w:rFonts w:hint="eastAsia" w:ascii="宋体" w:hAnsi="宋体"/>
          <w:b/>
          <w:color w:val="FF0000"/>
          <w:sz w:val="24"/>
          <w:szCs w:val="24"/>
        </w:rPr>
        <w:t>个月的供货量为：</w:t>
      </w:r>
      <w:r>
        <w:rPr>
          <w:rFonts w:hint="eastAsia" w:ascii="宋体" w:hAnsi="宋体"/>
          <w:b/>
          <w:color w:val="FF0000"/>
          <w:sz w:val="24"/>
          <w:szCs w:val="24"/>
          <w:lang w:val="en-US" w:eastAsia="zh-CN"/>
        </w:rPr>
        <w:t>低氮增碳剂400</w:t>
      </w:r>
      <w:r>
        <w:rPr>
          <w:rFonts w:hint="eastAsia" w:ascii="宋体" w:hAnsi="宋体"/>
          <w:b/>
          <w:color w:val="FF0000"/>
          <w:sz w:val="24"/>
          <w:szCs w:val="24"/>
        </w:rPr>
        <w:t>吨（</w:t>
      </w:r>
      <w:r>
        <w:rPr>
          <w:rFonts w:hint="eastAsia" w:ascii="宋体" w:hAnsi="宋体"/>
          <w:b/>
          <w:color w:val="FF0000"/>
          <w:sz w:val="24"/>
          <w:szCs w:val="24"/>
          <w:lang w:val="en-US" w:eastAsia="zh-CN"/>
        </w:rPr>
        <w:t>以上</w:t>
      </w:r>
      <w:r>
        <w:rPr>
          <w:rFonts w:hint="eastAsia" w:ascii="宋体" w:hAnsi="宋体"/>
          <w:b/>
          <w:color w:val="FF0000"/>
          <w:sz w:val="24"/>
          <w:szCs w:val="24"/>
        </w:rPr>
        <w:t>数量为</w:t>
      </w:r>
      <w:r>
        <w:rPr>
          <w:rFonts w:hint="eastAsia" w:ascii="宋体" w:hAnsi="宋体"/>
          <w:b/>
          <w:color w:val="FF0000"/>
          <w:sz w:val="24"/>
          <w:szCs w:val="24"/>
          <w:lang w:val="en-US" w:eastAsia="zh-CN"/>
        </w:rPr>
        <w:t>三</w:t>
      </w:r>
      <w:r>
        <w:rPr>
          <w:rFonts w:hint="eastAsia" w:ascii="宋体" w:hAnsi="宋体"/>
          <w:b/>
          <w:color w:val="FF0000"/>
          <w:sz w:val="24"/>
          <w:szCs w:val="24"/>
        </w:rPr>
        <w:t>个月的理论需求数量，具体供货数量以生产单位实际用量为准，具体供货时间以商务部门通知为准）。</w:t>
      </w:r>
    </w:p>
    <w:p>
      <w:pPr>
        <w:numPr>
          <w:ilvl w:val="0"/>
          <w:numId w:val="8"/>
        </w:numPr>
        <w:spacing w:line="360" w:lineRule="auto"/>
        <w:ind w:firstLine="482" w:firstLineChars="200"/>
        <w:rPr>
          <w:rFonts w:hint="eastAsia" w:ascii="宋体" w:hAnsi="宋体"/>
          <w:b/>
          <w:color w:val="FF0000"/>
          <w:sz w:val="24"/>
          <w:szCs w:val="24"/>
        </w:rPr>
      </w:pPr>
      <w:r>
        <w:rPr>
          <w:rFonts w:hint="eastAsia" w:ascii="宋体" w:hAnsi="宋体"/>
          <w:b/>
          <w:color w:val="FF0000"/>
          <w:sz w:val="24"/>
          <w:szCs w:val="24"/>
        </w:rPr>
        <w:t>本次招标项目最高投标限价</w:t>
      </w:r>
      <w:r>
        <w:rPr>
          <w:rFonts w:hint="eastAsia" w:ascii="宋体" w:hAnsi="宋体"/>
          <w:b/>
          <w:color w:val="FF0000"/>
          <w:sz w:val="24"/>
          <w:szCs w:val="24"/>
          <w:lang w:eastAsia="zh-CN"/>
        </w:rPr>
        <w:t>（</w:t>
      </w:r>
      <w:r>
        <w:rPr>
          <w:rFonts w:hint="eastAsia" w:ascii="宋体" w:hAnsi="宋体"/>
          <w:b/>
          <w:color w:val="FF0000"/>
          <w:sz w:val="24"/>
          <w:szCs w:val="24"/>
          <w:lang w:val="en-US" w:eastAsia="zh-CN"/>
        </w:rPr>
        <w:t>含税</w:t>
      </w:r>
      <w:r>
        <w:rPr>
          <w:rFonts w:hint="eastAsia" w:ascii="宋体" w:hAnsi="宋体"/>
          <w:b/>
          <w:color w:val="FF0000"/>
          <w:sz w:val="24"/>
          <w:szCs w:val="24"/>
          <w:lang w:eastAsia="zh-CN"/>
        </w:rPr>
        <w:t>）</w:t>
      </w:r>
      <w:r>
        <w:rPr>
          <w:rFonts w:hint="eastAsia" w:ascii="宋体" w:hAnsi="宋体"/>
          <w:b/>
          <w:color w:val="FF0000"/>
          <w:sz w:val="24"/>
          <w:szCs w:val="24"/>
        </w:rPr>
        <w:t>为：</w:t>
      </w:r>
      <w:r>
        <w:rPr>
          <w:rFonts w:hint="eastAsia" w:ascii="宋体" w:hAnsi="宋体"/>
          <w:b/>
          <w:color w:val="FF0000"/>
          <w:sz w:val="24"/>
          <w:szCs w:val="24"/>
          <w:lang w:val="en-US" w:eastAsia="zh-CN"/>
        </w:rPr>
        <w:t>7000元/吨</w:t>
      </w:r>
      <w:r>
        <w:rPr>
          <w:rFonts w:hint="eastAsia" w:ascii="宋体" w:hAnsi="宋体"/>
          <w:b/>
          <w:color w:val="FF0000"/>
          <w:sz w:val="24"/>
          <w:szCs w:val="24"/>
          <w:lang w:eastAsia="zh-CN"/>
        </w:rPr>
        <w:t>（</w:t>
      </w:r>
      <w:r>
        <w:rPr>
          <w:rFonts w:hint="eastAsia" w:ascii="宋体" w:hAnsi="宋体"/>
          <w:b/>
          <w:color w:val="FF0000"/>
          <w:sz w:val="24"/>
          <w:szCs w:val="24"/>
          <w:lang w:val="en-US" w:eastAsia="zh-CN"/>
        </w:rPr>
        <w:t>大写：柒仟元每吨</w:t>
      </w:r>
      <w:r>
        <w:rPr>
          <w:rFonts w:hint="eastAsia" w:ascii="宋体" w:hAnsi="宋体"/>
          <w:b/>
          <w:color w:val="FF0000"/>
          <w:sz w:val="24"/>
          <w:szCs w:val="24"/>
          <w:lang w:eastAsia="zh-CN"/>
        </w:rPr>
        <w:t>）；</w:t>
      </w:r>
      <w:r>
        <w:rPr>
          <w:rFonts w:hint="eastAsia" w:ascii="宋体" w:hAnsi="宋体"/>
          <w:b/>
          <w:color w:val="FF0000"/>
          <w:sz w:val="24"/>
          <w:szCs w:val="24"/>
        </w:rPr>
        <w:t>报价高于此最高投标限价的作废标处理。</w:t>
      </w: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6</w:t>
      </w:r>
      <w:r>
        <w:rPr>
          <w:rFonts w:ascii="宋体" w:hAnsi="宋体"/>
          <w:sz w:val="24"/>
          <w:szCs w:val="24"/>
        </w:rPr>
        <w:t>月</w:t>
      </w:r>
      <w:r>
        <w:rPr>
          <w:rFonts w:hint="eastAsia" w:ascii="宋体" w:hAnsi="宋体"/>
          <w:sz w:val="24"/>
          <w:szCs w:val="24"/>
          <w:lang w:val="en-US" w:eastAsia="zh-CN"/>
        </w:rPr>
        <w:t>17</w:t>
      </w:r>
      <w:r>
        <w:rPr>
          <w:rFonts w:hint="eastAsia" w:ascii="宋体" w:hAnsi="宋体"/>
          <w:sz w:val="24"/>
          <w:szCs w:val="24"/>
        </w:rPr>
        <w:t>日</w:t>
      </w:r>
    </w:p>
    <w:p>
      <w:pPr>
        <w:jc w:val="center"/>
        <w:rPr>
          <w:rFonts w:hint="eastAsia"/>
          <w:b/>
          <w:color w:val="auto"/>
          <w:sz w:val="36"/>
          <w:szCs w:val="36"/>
          <w:u w:val="none" w:color="auto"/>
          <w:lang w:eastAsia="zh-CN"/>
        </w:rPr>
      </w:pPr>
      <w:r>
        <w:rPr>
          <w:rFonts w:hint="eastAsia"/>
          <w:b/>
          <w:color w:val="auto"/>
          <w:sz w:val="36"/>
          <w:szCs w:val="36"/>
          <w:u w:val="none" w:color="auto"/>
        </w:rPr>
        <w:t>低氮增碳剂</w:t>
      </w:r>
      <w:r>
        <w:rPr>
          <w:rFonts w:hint="eastAsia"/>
          <w:b/>
          <w:color w:val="auto"/>
          <w:sz w:val="36"/>
          <w:szCs w:val="36"/>
          <w:u w:val="none" w:color="auto"/>
          <w:lang w:val="en-US" w:eastAsia="zh-CN"/>
        </w:rPr>
        <w:t>质</w:t>
      </w:r>
      <w:r>
        <w:rPr>
          <w:rFonts w:hint="eastAsia"/>
          <w:b/>
          <w:color w:val="auto"/>
          <w:sz w:val="36"/>
          <w:szCs w:val="36"/>
          <w:u w:val="none" w:color="auto"/>
          <w:lang w:eastAsia="zh-CN"/>
        </w:rPr>
        <w:t>量标准技术统一平台</w:t>
      </w:r>
    </w:p>
    <w:p>
      <w:pPr>
        <w:keepNext w:val="0"/>
        <w:keepLines w:val="0"/>
        <w:pageBreakBefore w:val="0"/>
        <w:widowControl w:val="0"/>
        <w:numPr>
          <w:ilvl w:val="0"/>
          <w:numId w:val="9"/>
        </w:numPr>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left"/>
        <w:textAlignment w:val="auto"/>
        <w:outlineLvl w:val="9"/>
        <w:rPr>
          <w:rFonts w:hint="eastAsia"/>
          <w:b/>
          <w:bCs w:val="0"/>
          <w:color w:val="auto"/>
          <w:sz w:val="24"/>
          <w:szCs w:val="24"/>
          <w:u w:val="none" w:color="auto"/>
          <w:lang w:val="en-US" w:eastAsia="zh-CN"/>
        </w:rPr>
      </w:pPr>
      <w:r>
        <w:rPr>
          <w:rFonts w:hint="eastAsia"/>
          <w:b/>
          <w:bCs w:val="0"/>
          <w:color w:val="auto"/>
          <w:sz w:val="24"/>
          <w:szCs w:val="24"/>
          <w:u w:val="none" w:color="auto"/>
          <w:lang w:val="en-US" w:eastAsia="zh-CN"/>
        </w:rPr>
        <w:t>范围</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本标准规定了炼钢低氮增碳剂的采购标准、让步接受条件、不合格处理及送货要求。</w:t>
      </w:r>
    </w:p>
    <w:p>
      <w:pPr>
        <w:keepNext w:val="0"/>
        <w:keepLines w:val="0"/>
        <w:pageBreakBefore w:val="0"/>
        <w:widowControl w:val="0"/>
        <w:numPr>
          <w:ilvl w:val="0"/>
          <w:numId w:val="10"/>
        </w:numPr>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left"/>
        <w:textAlignment w:val="auto"/>
        <w:outlineLvl w:val="9"/>
        <w:rPr>
          <w:rFonts w:hint="eastAsia"/>
          <w:b/>
          <w:bCs w:val="0"/>
          <w:color w:val="auto"/>
          <w:sz w:val="24"/>
          <w:szCs w:val="24"/>
          <w:u w:val="none" w:color="auto"/>
          <w:lang w:val="en-US" w:eastAsia="zh-CN"/>
        </w:rPr>
      </w:pPr>
      <w:r>
        <w:rPr>
          <w:rFonts w:hint="eastAsia"/>
          <w:b/>
          <w:bCs w:val="0"/>
          <w:color w:val="auto"/>
          <w:sz w:val="24"/>
          <w:szCs w:val="24"/>
          <w:u w:val="none" w:color="auto"/>
          <w:lang w:val="en-US" w:eastAsia="zh-CN"/>
        </w:rPr>
        <w:t>技术要求</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2.1检验项目</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FC%；St.d%；H2O%；N%；粒度</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2.2检验标准</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FC≥98%；St.d≤0.05%；H2O≤0.5%；N≤300ppm；粒度：1～5mm；小于1mm的比例≤5%；大于5mm的比例≤1%</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2.3让步接受条件</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FC≥96%；St.d≤0.15%；H2O≤0.7%；N≤400ppm；小于1mm的比例≤7%；大于5mm的比例≤2%</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2.4不合格处理</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1、FC超出标准在让步接收范围内，97%≤C＜98%间，每下降0.1%，合同价格降0.5%;96%≤C＜97%间，每下降0.1%，合同价格降1%；超出让步范围原则上退货或改判为普通增碳剂结算。</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2、St.d超出标准在让步范围内，每上升0.01%，合同价格降0.5%；超出让步退货或改判普通增碳剂结算。</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3、0.5%＜H2O≤0.7%，每增加0.1%，合同价格降2%，H2O＞0.7%，作退货处理。</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4、N超出标准在让步范围内，300ppm&lt;[N]≤400ppm，每上升1ppm，合同价格降0.1%，超出400ppm（0.04%），按拒收或普通增碳剂结算。</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5、粒度超出标准在让步范围内，按超出部分扣吨。超出让步退货或按超出吨位双倍扣吨</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2" w:firstLineChars="200"/>
        <w:jc w:val="left"/>
        <w:textAlignment w:val="auto"/>
        <w:outlineLvl w:val="9"/>
        <w:rPr>
          <w:rFonts w:hint="eastAsia"/>
          <w:b w:val="0"/>
          <w:bCs/>
          <w:color w:val="auto"/>
          <w:sz w:val="24"/>
          <w:szCs w:val="24"/>
          <w:u w:val="none" w:color="auto"/>
          <w:lang w:val="en-US" w:eastAsia="zh-CN"/>
        </w:rPr>
      </w:pPr>
      <w:r>
        <w:rPr>
          <w:rFonts w:hint="eastAsia"/>
          <w:b/>
          <w:bCs w:val="0"/>
          <w:color w:val="auto"/>
          <w:sz w:val="24"/>
          <w:szCs w:val="24"/>
          <w:u w:val="none" w:color="auto"/>
          <w:lang w:val="en-US" w:eastAsia="zh-CN"/>
        </w:rPr>
        <w:t>3.其他要求</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3.1</w:t>
      </w:r>
      <w:r>
        <w:rPr>
          <w:rFonts w:hint="default"/>
          <w:b w:val="0"/>
          <w:bCs/>
          <w:color w:val="auto"/>
          <w:sz w:val="24"/>
          <w:szCs w:val="24"/>
          <w:u w:val="none" w:color="auto"/>
          <w:lang w:val="en-US" w:eastAsia="zh-CN"/>
        </w:rPr>
        <w:t>包装要求：</w:t>
      </w:r>
      <w:r>
        <w:rPr>
          <w:rFonts w:hint="eastAsia"/>
          <w:b w:val="0"/>
          <w:bCs/>
          <w:color w:val="auto"/>
          <w:sz w:val="24"/>
          <w:szCs w:val="24"/>
          <w:u w:val="none" w:color="auto"/>
          <w:lang w:val="en-US" w:eastAsia="zh-CN"/>
        </w:rPr>
        <w:t>内小袋重量</w:t>
      </w:r>
      <w:r>
        <w:rPr>
          <w:rFonts w:hint="default"/>
          <w:b w:val="0"/>
          <w:bCs/>
          <w:color w:val="auto"/>
          <w:sz w:val="24"/>
          <w:szCs w:val="24"/>
          <w:u w:val="none" w:color="auto"/>
          <w:lang w:val="en-US" w:eastAsia="zh-CN"/>
        </w:rPr>
        <w:t>15±0.2KG。四层包装，</w:t>
      </w:r>
      <w:r>
        <w:rPr>
          <w:rFonts w:hint="eastAsia"/>
          <w:b w:val="0"/>
          <w:bCs/>
          <w:color w:val="auto"/>
          <w:sz w:val="24"/>
          <w:szCs w:val="24"/>
          <w:u w:val="none" w:color="auto"/>
          <w:lang w:val="en-US" w:eastAsia="zh-CN"/>
        </w:rPr>
        <w:t>做好防潮措施，吨袋包装外层和小袋包装外层为编织袋，吨袋包装内层和小袋包装内层为厚塑料袋。塑料袋具有一定强度，保证质量，不易刺破，起到防潮效果，吨袋内膜要求扎口。吨袋</w:t>
      </w:r>
      <w:r>
        <w:rPr>
          <w:rFonts w:hint="default"/>
          <w:b w:val="0"/>
          <w:bCs/>
          <w:color w:val="auto"/>
          <w:sz w:val="24"/>
          <w:szCs w:val="24"/>
          <w:u w:val="none" w:color="auto"/>
          <w:lang w:val="en-US" w:eastAsia="zh-CN"/>
        </w:rPr>
        <w:t>包装袋上必须注明物资名称、生产厂家、包装重量</w:t>
      </w:r>
      <w:r>
        <w:rPr>
          <w:rFonts w:hint="eastAsia"/>
          <w:b w:val="0"/>
          <w:bCs/>
          <w:color w:val="auto"/>
          <w:sz w:val="24"/>
          <w:szCs w:val="24"/>
          <w:u w:val="none" w:color="auto"/>
          <w:lang w:val="en-US" w:eastAsia="zh-CN"/>
        </w:rPr>
        <w:t>、生产日期</w:t>
      </w:r>
      <w:r>
        <w:rPr>
          <w:rFonts w:hint="default"/>
          <w:b w:val="0"/>
          <w:bCs/>
          <w:color w:val="auto"/>
          <w:sz w:val="24"/>
          <w:szCs w:val="24"/>
          <w:u w:val="none" w:color="auto"/>
          <w:lang w:val="en-US" w:eastAsia="zh-CN"/>
        </w:rPr>
        <w:t>等信息</w:t>
      </w:r>
      <w:r>
        <w:rPr>
          <w:rFonts w:hint="eastAsia"/>
          <w:b w:val="0"/>
          <w:bCs/>
          <w:color w:val="auto"/>
          <w:sz w:val="24"/>
          <w:szCs w:val="24"/>
          <w:u w:val="none" w:color="auto"/>
          <w:lang w:val="en-US" w:eastAsia="zh-CN"/>
        </w:rPr>
        <w:t>，小包装袋上必须注明物资名称、重量等信息。</w:t>
      </w:r>
      <w:r>
        <w:rPr>
          <w:rFonts w:hint="default"/>
          <w:b w:val="0"/>
          <w:bCs/>
          <w:color w:val="auto"/>
          <w:sz w:val="24"/>
          <w:szCs w:val="24"/>
          <w:u w:val="none" w:color="auto"/>
          <w:lang w:val="en-US" w:eastAsia="zh-CN"/>
        </w:rPr>
        <w:t>如包装重量发生变化，提前通知供货厂家并进行调整。大袋包装重量为</w:t>
      </w:r>
      <w:r>
        <w:rPr>
          <w:rFonts w:hint="eastAsia"/>
          <w:b w:val="0"/>
          <w:bCs/>
          <w:color w:val="auto"/>
          <w:sz w:val="24"/>
          <w:szCs w:val="24"/>
          <w:u w:val="none" w:color="auto"/>
          <w:lang w:val="en-US" w:eastAsia="zh-CN"/>
        </w:rPr>
        <w:t>60</w:t>
      </w:r>
      <w:r>
        <w:rPr>
          <w:rFonts w:hint="default"/>
          <w:b w:val="0"/>
          <w:bCs/>
          <w:color w:val="auto"/>
          <w:sz w:val="24"/>
          <w:szCs w:val="24"/>
          <w:u w:val="none" w:color="auto"/>
          <w:lang w:val="en-US" w:eastAsia="zh-CN"/>
        </w:rPr>
        <w:t>0公斤包装。</w:t>
      </w:r>
      <w:r>
        <w:rPr>
          <w:rFonts w:hint="eastAsia"/>
          <w:b w:val="0"/>
          <w:bCs/>
          <w:color w:val="auto"/>
          <w:sz w:val="24"/>
          <w:szCs w:val="24"/>
          <w:u w:val="none" w:color="auto"/>
          <w:lang w:val="en-US" w:eastAsia="zh-CN"/>
        </w:rPr>
        <w:t>包装袋供方不回收。包装不符合要求的按200元/袋落实考核。</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szCs w:val="24"/>
          <w:u w:val="none" w:color="auto"/>
        </w:rPr>
      </w:pPr>
      <w:r>
        <w:rPr>
          <w:rFonts w:hint="eastAsia"/>
          <w:b w:val="0"/>
          <w:bCs/>
          <w:color w:val="auto"/>
          <w:sz w:val="24"/>
          <w:szCs w:val="24"/>
          <w:u w:val="none" w:color="auto"/>
          <w:lang w:val="en-US" w:eastAsia="zh-CN"/>
        </w:rPr>
        <w:t>3.2</w:t>
      </w:r>
      <w:r>
        <w:rPr>
          <w:rFonts w:hint="default" w:ascii="Times New Roman" w:hAnsi="Times New Roman" w:cs="Times New Roman"/>
          <w:b w:val="0"/>
          <w:bCs/>
          <w:color w:val="auto"/>
          <w:sz w:val="24"/>
          <w:szCs w:val="24"/>
          <w:u w:val="none" w:color="auto"/>
        </w:rPr>
        <w:t>包装吨袋质量必须保证，如果因为吨袋质量问题导致在卸货过程中出现漏料、撒料的情况，全部责任由供方承担。</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jc w:val="left"/>
        <w:textAlignment w:val="auto"/>
        <w:outlineLvl w:val="9"/>
        <w:rPr>
          <w:rFonts w:hint="eastAsia"/>
          <w:b w:val="0"/>
          <w:bCs/>
          <w:color w:val="auto"/>
          <w:sz w:val="24"/>
          <w:szCs w:val="24"/>
          <w:u w:val="none" w:color="auto"/>
          <w:lang w:val="en-US" w:eastAsia="zh-CN"/>
        </w:rPr>
      </w:pPr>
      <w:r>
        <w:rPr>
          <w:rFonts w:hint="eastAsia"/>
          <w:b/>
          <w:bCs w:val="0"/>
          <w:color w:val="auto"/>
          <w:sz w:val="24"/>
          <w:szCs w:val="24"/>
          <w:u w:val="none" w:color="auto"/>
          <w:lang w:val="en-US" w:eastAsia="zh-CN"/>
        </w:rPr>
        <w:t>4.送货要求</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进厂卸货服从我方管理。</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Chars="0" w:right="0" w:rightChars="0"/>
        <w:jc w:val="left"/>
        <w:textAlignment w:val="auto"/>
        <w:outlineLvl w:val="9"/>
        <w:rPr>
          <w:rFonts w:hint="eastAsia" w:cs="Times New Roman"/>
          <w:b/>
          <w:bCs w:val="0"/>
          <w:color w:val="auto"/>
          <w:sz w:val="24"/>
          <w:szCs w:val="24"/>
          <w:u w:val="none" w:color="auto"/>
          <w:lang w:val="en-US" w:eastAsia="zh-CN"/>
        </w:rPr>
      </w:pPr>
      <w:r>
        <w:rPr>
          <w:rFonts w:hint="eastAsia" w:cs="Times New Roman"/>
          <w:b/>
          <w:bCs w:val="0"/>
          <w:color w:val="auto"/>
          <w:sz w:val="24"/>
          <w:szCs w:val="24"/>
          <w:u w:val="none" w:color="auto"/>
          <w:lang w:val="en-US" w:eastAsia="zh-CN"/>
        </w:rPr>
        <w:t>5.卸货地点</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cs="Times New Roman"/>
          <w:b w:val="0"/>
          <w:bCs/>
          <w:color w:val="auto"/>
          <w:sz w:val="24"/>
          <w:szCs w:val="24"/>
          <w:u w:val="none" w:color="auto"/>
          <w:lang w:val="en-US" w:eastAsia="zh-CN"/>
        </w:rPr>
      </w:pPr>
      <w:r>
        <w:rPr>
          <w:rFonts w:hint="eastAsia" w:cs="Times New Roman"/>
          <w:b w:val="0"/>
          <w:bCs/>
          <w:color w:val="auto"/>
          <w:sz w:val="24"/>
          <w:szCs w:val="24"/>
          <w:u w:val="none" w:color="auto"/>
          <w:lang w:val="en-US" w:eastAsia="zh-CN"/>
        </w:rPr>
        <w:t>低氮增碳剂卸至炼钢部库房。</w:t>
      </w:r>
    </w:p>
    <w:p>
      <w:pPr>
        <w:jc w:val="right"/>
        <w:rPr>
          <w:rFonts w:hint="eastAsia"/>
          <w:b w:val="0"/>
          <w:bCs/>
          <w:color w:val="auto"/>
          <w:sz w:val="28"/>
          <w:szCs w:val="28"/>
          <w:u w:val="none" w:color="auto"/>
          <w:lang w:val="en-US" w:eastAsia="zh-CN"/>
        </w:rPr>
      </w:pPr>
    </w:p>
    <w:p>
      <w:pPr>
        <w:jc w:val="left"/>
        <w:rPr>
          <w:rFonts w:hint="eastAsia"/>
          <w:b/>
          <w:color w:val="auto"/>
          <w:sz w:val="24"/>
          <w:szCs w:val="24"/>
          <w:u w:val="none" w:color="auto"/>
          <w:lang w:val="en-US" w:eastAsia="zh-CN"/>
        </w:rPr>
      </w:pPr>
    </w:p>
    <w:p>
      <w:pPr>
        <w:widowControl w:val="0"/>
        <w:spacing w:line="360" w:lineRule="auto"/>
        <w:jc w:val="both"/>
        <w:rPr>
          <w:rFonts w:hint="eastAsia" w:asciiTheme="minorEastAsia" w:hAnsiTheme="minorEastAsia" w:eastAsiaTheme="minorEastAsia"/>
          <w:color w:val="000000"/>
          <w:sz w:val="28"/>
          <w:szCs w:val="28"/>
        </w:rPr>
      </w:pPr>
    </w:p>
    <w:p>
      <w:pPr>
        <w:widowControl w:val="0"/>
        <w:spacing w:line="360" w:lineRule="auto"/>
        <w:jc w:val="both"/>
        <w:rPr>
          <w:rFonts w:hint="eastAsia" w:asciiTheme="minorEastAsia" w:hAnsiTheme="minorEastAsia" w:eastAsiaTheme="minorEastAsia"/>
          <w:color w:val="000000"/>
          <w:sz w:val="28"/>
          <w:szCs w:val="28"/>
        </w:rPr>
      </w:pPr>
    </w:p>
    <w:p>
      <w:pPr>
        <w:widowControl w:val="0"/>
        <w:spacing w:line="360" w:lineRule="auto"/>
        <w:jc w:val="both"/>
        <w:rPr>
          <w:rFonts w:hint="eastAsia" w:asciiTheme="minorEastAsia" w:hAnsiTheme="minorEastAsia" w:eastAsiaTheme="minorEastAsia"/>
          <w:color w:val="000000"/>
          <w:sz w:val="28"/>
          <w:szCs w:val="28"/>
        </w:rPr>
      </w:pPr>
    </w:p>
    <w:p>
      <w:pPr>
        <w:widowControl w:val="0"/>
        <w:spacing w:line="360" w:lineRule="auto"/>
        <w:jc w:val="both"/>
        <w:rPr>
          <w:rFonts w:hint="eastAsia" w:asciiTheme="minorEastAsia" w:hAnsiTheme="minorEastAsia" w:eastAsiaTheme="minorEastAsia"/>
          <w:color w:val="000000"/>
          <w:sz w:val="28"/>
          <w:szCs w:val="28"/>
        </w:rPr>
      </w:pPr>
    </w:p>
    <w:p>
      <w:pPr>
        <w:tabs>
          <w:tab w:val="left" w:pos="420"/>
          <w:tab w:val="left" w:pos="630"/>
        </w:tabs>
        <w:spacing w:line="300" w:lineRule="auto"/>
        <w:ind w:firstLine="105" w:firstLineChars="50"/>
        <w:jc w:val="center"/>
        <w:rPr>
          <w:rFonts w:ascii="宋体" w:hAnsi="宋体" w:cs="宋体"/>
          <w:b/>
          <w:bCs/>
          <w:sz w:val="28"/>
          <w:szCs w:val="28"/>
          <w:highlight w:val="yellow"/>
        </w:rPr>
      </w:pPr>
      <w:r>
        <w:rPr>
          <w:b/>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-32385</wp:posOffset>
                </wp:positionV>
                <wp:extent cx="1028700" cy="891540"/>
                <wp:effectExtent l="0" t="0" r="0" b="3810"/>
                <wp:wrapNone/>
                <wp:docPr id="3" name="文本框 2"/>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文本框 2" o:spid="_x0000_s1026" o:spt="202" type="#_x0000_t202" style="position:absolute;left:0pt;margin-left:0pt;margin-top:-2.55pt;height:70.2pt;width:81pt;z-index:251661312;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C3wZLWAAAABwEAAA8AAAAAAAAAAQAgAAAAIgAAAGRycy9kb3ducmV2Lnht&#10;bFBLAQIUABQAAAAIAIdO4kBTPubuwgEAAHcDAAAOAAAAAAAAAAEAIAAAACUBAABkcnMvZTJvRG9j&#10;LnhtbFBLBQYAAAAABgAGAFkBAABZBQAAAAA=&#10;">
                <v:fill on="t" focussize="0,0"/>
                <v:stroke on="f"/>
                <v:imagedata o:title=""/>
                <o:lock v:ext="edit" aspectratio="f"/>
                <v:textbox>
                  <w:txbxContent>
                    <w:p/>
                  </w:txbxContent>
                </v:textbox>
              </v:shape>
            </w:pict>
          </mc:Fallback>
        </mc:AlternateContent>
      </w:r>
    </w:p>
    <w:p>
      <w:pPr>
        <w:pStyle w:val="21"/>
        <w:snapToGrid w:val="0"/>
        <w:spacing w:line="480" w:lineRule="auto"/>
        <w:rPr>
          <w:rFonts w:hint="eastAsia"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1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widowControl/>
        <w:shd w:val="clear" w:color="auto" w:fill="FFFFFF"/>
        <w:spacing w:line="360" w:lineRule="auto"/>
        <w:ind w:firstLine="4480" w:firstLineChars="1600"/>
        <w:jc w:val="left"/>
        <w:rPr>
          <w:rFonts w:hint="eastAsia" w:ascii="仿宋_GB2312" w:eastAsia="仿宋_GB2312"/>
          <w:sz w:val="28"/>
          <w:szCs w:val="28"/>
        </w:rPr>
      </w:pPr>
    </w:p>
    <w:p>
      <w:pPr>
        <w:widowControl/>
        <w:shd w:val="clear" w:color="auto" w:fill="FFFFFF"/>
        <w:spacing w:line="360" w:lineRule="auto"/>
        <w:jc w:val="left"/>
        <w:rPr>
          <w:rFonts w:hint="eastAsia" w:ascii="仿宋_GB2312" w:eastAsia="仿宋_GB2312"/>
          <w:sz w:val="28"/>
          <w:szCs w:val="28"/>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11"/>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11"/>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11"/>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11"/>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11"/>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低氮增碳剂</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jc w:val="left"/>
        <w:rPr>
          <w:rFonts w:hint="eastAsia" w:ascii="宋体" w:hAnsi="宋体" w:cs="宋体"/>
          <w:b/>
          <w:bCs/>
          <w:color w:val="FF0000"/>
          <w:kern w:val="0"/>
          <w:sz w:val="24"/>
          <w:szCs w:val="24"/>
        </w:rPr>
      </w:pPr>
    </w:p>
    <w:p>
      <w:pPr>
        <w:jc w:val="left"/>
        <w:rPr>
          <w:rFonts w:hint="default" w:ascii="宋体" w:hAnsi="宋体" w:cs="宋体"/>
          <w:b/>
          <w:bCs/>
          <w:color w:val="FF0000"/>
          <w:kern w:val="0"/>
          <w:sz w:val="24"/>
          <w:szCs w:val="24"/>
          <w:lang w:val="en-US"/>
        </w:rPr>
      </w:pPr>
      <w:r>
        <w:rPr>
          <w:rFonts w:hint="eastAsia" w:ascii="宋体" w:hAnsi="宋体" w:eastAsia="宋体" w:cs="Times New Roman"/>
          <w:b w:val="0"/>
          <w:bCs/>
          <w:kern w:val="0"/>
          <w:sz w:val="28"/>
          <w:szCs w:val="28"/>
          <w:lang w:val="en-US" w:eastAsia="zh-CN" w:bidi="ar-SA"/>
        </w:rPr>
        <w:t>附件5</w:t>
      </w:r>
      <w:r>
        <w:rPr>
          <w:rFonts w:hint="eastAsia" w:ascii="宋体" w:hAnsi="宋体" w:cs="宋体"/>
          <w:b/>
          <w:bCs/>
          <w:color w:val="FF0000"/>
          <w:kern w:val="0"/>
          <w:sz w:val="24"/>
          <w:szCs w:val="24"/>
          <w:lang w:val="en-US" w:eastAsia="zh-CN"/>
        </w:rPr>
        <w:t xml:space="preserve">  报价表</w:t>
      </w:r>
    </w:p>
    <w:p>
      <w:pPr>
        <w:jc w:val="center"/>
        <w:rPr>
          <w:rFonts w:ascii="宋体" w:hAnsi="宋体"/>
          <w:sz w:val="44"/>
          <w:szCs w:val="44"/>
        </w:rPr>
      </w:pPr>
      <w:r>
        <w:rPr>
          <w:rFonts w:hint="eastAsia" w:ascii="宋体" w:hAnsi="宋体"/>
          <w:sz w:val="44"/>
          <w:szCs w:val="44"/>
        </w:rPr>
        <w:t>报价统一格式</w:t>
      </w:r>
    </w:p>
    <w:tbl>
      <w:tblPr>
        <w:tblStyle w:val="10"/>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1230"/>
        <w:gridCol w:w="1794"/>
        <w:gridCol w:w="3900"/>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38" w:type="pct"/>
            <w:noWrap w:val="0"/>
            <w:vAlign w:val="center"/>
          </w:tcPr>
          <w:p>
            <w:pPr>
              <w:jc w:val="center"/>
              <w:rPr>
                <w:rFonts w:hint="eastAsia"/>
                <w:sz w:val="18"/>
                <w:szCs w:val="18"/>
              </w:rPr>
            </w:pPr>
            <w:r>
              <w:rPr>
                <w:rFonts w:hint="eastAsia"/>
                <w:sz w:val="18"/>
                <w:szCs w:val="18"/>
              </w:rPr>
              <w:t>序号</w:t>
            </w:r>
          </w:p>
        </w:tc>
        <w:tc>
          <w:tcPr>
            <w:tcW w:w="691" w:type="pct"/>
            <w:noWrap w:val="0"/>
            <w:vAlign w:val="center"/>
          </w:tcPr>
          <w:p>
            <w:pPr>
              <w:jc w:val="center"/>
              <w:rPr>
                <w:rFonts w:hint="eastAsia"/>
                <w:sz w:val="18"/>
                <w:szCs w:val="18"/>
              </w:rPr>
            </w:pPr>
            <w:r>
              <w:rPr>
                <w:rFonts w:hint="eastAsia"/>
                <w:sz w:val="18"/>
                <w:szCs w:val="18"/>
              </w:rPr>
              <w:t>物资名称</w:t>
            </w:r>
          </w:p>
        </w:tc>
        <w:tc>
          <w:tcPr>
            <w:tcW w:w="1008" w:type="pct"/>
            <w:noWrap w:val="0"/>
            <w:vAlign w:val="center"/>
          </w:tcPr>
          <w:p>
            <w:pPr>
              <w:jc w:val="center"/>
              <w:rPr>
                <w:rFonts w:hint="eastAsia"/>
                <w:sz w:val="18"/>
                <w:szCs w:val="18"/>
              </w:rPr>
            </w:pPr>
            <w:r>
              <w:rPr>
                <w:rFonts w:hint="eastAsia"/>
                <w:sz w:val="18"/>
                <w:szCs w:val="18"/>
                <w:lang w:val="en-US" w:eastAsia="zh-CN"/>
              </w:rPr>
              <w:t>三</w:t>
            </w:r>
            <w:r>
              <w:rPr>
                <w:rFonts w:hint="eastAsia"/>
                <w:sz w:val="18"/>
                <w:szCs w:val="18"/>
                <w:lang w:eastAsia="zh-CN"/>
              </w:rPr>
              <w:t>个月</w:t>
            </w:r>
            <w:r>
              <w:rPr>
                <w:rFonts w:hint="eastAsia"/>
                <w:sz w:val="18"/>
                <w:szCs w:val="18"/>
              </w:rPr>
              <w:t>理论要求数量</w:t>
            </w:r>
          </w:p>
        </w:tc>
        <w:tc>
          <w:tcPr>
            <w:tcW w:w="2192" w:type="pct"/>
            <w:noWrap w:val="0"/>
            <w:vAlign w:val="center"/>
          </w:tcPr>
          <w:p>
            <w:pPr>
              <w:jc w:val="center"/>
              <w:rPr>
                <w:rFonts w:hint="eastAsia"/>
                <w:sz w:val="18"/>
                <w:szCs w:val="18"/>
              </w:rPr>
            </w:pPr>
            <w:r>
              <w:rPr>
                <w:rFonts w:hint="eastAsia"/>
                <w:sz w:val="18"/>
                <w:szCs w:val="18"/>
              </w:rPr>
              <w:t>含税、含运费报价（元/吨）</w:t>
            </w:r>
          </w:p>
        </w:tc>
        <w:tc>
          <w:tcPr>
            <w:tcW w:w="768" w:type="pct"/>
            <w:noWrap w:val="0"/>
            <w:vAlign w:val="center"/>
          </w:tcPr>
          <w:p>
            <w:pPr>
              <w:jc w:val="center"/>
              <w:rPr>
                <w:rFonts w:hint="eastAsia"/>
                <w:sz w:val="18"/>
                <w:szCs w:val="18"/>
              </w:rPr>
            </w:pPr>
            <w:r>
              <w:rPr>
                <w:rFonts w:hint="eastAsia"/>
                <w:sz w:val="18"/>
                <w:szCs w:val="18"/>
              </w:rPr>
              <w:t>供应量（吨）</w:t>
            </w:r>
          </w:p>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338" w:type="pct"/>
            <w:vMerge w:val="restart"/>
            <w:noWrap w:val="0"/>
            <w:vAlign w:val="center"/>
          </w:tcPr>
          <w:p>
            <w:pPr>
              <w:jc w:val="center"/>
              <w:rPr>
                <w:sz w:val="24"/>
                <w:szCs w:val="24"/>
              </w:rPr>
            </w:pPr>
            <w:r>
              <w:rPr>
                <w:rFonts w:hint="eastAsia"/>
                <w:sz w:val="24"/>
                <w:szCs w:val="24"/>
              </w:rPr>
              <w:t>1</w:t>
            </w:r>
          </w:p>
        </w:tc>
        <w:tc>
          <w:tcPr>
            <w:tcW w:w="691" w:type="pct"/>
            <w:vMerge w:val="restart"/>
            <w:noWrap w:val="0"/>
            <w:vAlign w:val="center"/>
          </w:tcPr>
          <w:p>
            <w:pPr>
              <w:jc w:val="center"/>
              <w:rPr>
                <w:rFonts w:hint="eastAsia" w:eastAsia="宋体"/>
                <w:sz w:val="24"/>
                <w:szCs w:val="24"/>
                <w:lang w:eastAsia="zh-CN"/>
              </w:rPr>
            </w:pPr>
            <w:r>
              <w:rPr>
                <w:rFonts w:hint="eastAsia" w:ascii="宋体" w:hAnsi="宋体"/>
                <w:b/>
                <w:color w:val="000000"/>
                <w:sz w:val="28"/>
                <w:szCs w:val="28"/>
                <w:lang w:val="en-US" w:eastAsia="zh-CN"/>
              </w:rPr>
              <w:t>低氮</w:t>
            </w:r>
            <w:r>
              <w:rPr>
                <w:rFonts w:hint="eastAsia" w:ascii="宋体" w:hAnsi="宋体"/>
                <w:b/>
                <w:color w:val="000000"/>
                <w:sz w:val="28"/>
                <w:szCs w:val="28"/>
                <w:lang w:eastAsia="zh-CN"/>
              </w:rPr>
              <w:t>增碳剂</w:t>
            </w:r>
          </w:p>
        </w:tc>
        <w:tc>
          <w:tcPr>
            <w:tcW w:w="1008" w:type="pct"/>
            <w:vMerge w:val="restart"/>
            <w:noWrap w:val="0"/>
            <w:vAlign w:val="center"/>
          </w:tcPr>
          <w:p>
            <w:pPr>
              <w:jc w:val="center"/>
              <w:rPr>
                <w:rFonts w:hint="eastAsia" w:eastAsia="宋体"/>
                <w:sz w:val="24"/>
                <w:szCs w:val="24"/>
                <w:lang w:val="en-US" w:eastAsia="zh-CN"/>
              </w:rPr>
            </w:pPr>
            <w:r>
              <w:rPr>
                <w:rFonts w:hint="eastAsia" w:ascii="宋体" w:hAnsi="宋体"/>
                <w:b/>
                <w:color w:val="FF0000"/>
                <w:sz w:val="24"/>
                <w:szCs w:val="24"/>
              </w:rPr>
              <w:t>约</w:t>
            </w:r>
            <w:r>
              <w:rPr>
                <w:rFonts w:hint="eastAsia" w:ascii="宋体" w:hAnsi="宋体"/>
                <w:b/>
                <w:color w:val="FF0000"/>
                <w:sz w:val="24"/>
                <w:szCs w:val="24"/>
                <w:lang w:val="en-US" w:eastAsia="zh-CN"/>
              </w:rPr>
              <w:t>400</w:t>
            </w:r>
            <w:r>
              <w:rPr>
                <w:rFonts w:hint="eastAsia" w:ascii="宋体" w:hAnsi="宋体"/>
                <w:b/>
                <w:color w:val="FF0000"/>
                <w:sz w:val="24"/>
                <w:szCs w:val="24"/>
              </w:rPr>
              <w:t>吨</w:t>
            </w:r>
          </w:p>
        </w:tc>
        <w:tc>
          <w:tcPr>
            <w:tcW w:w="2192" w:type="pct"/>
            <w:noWrap w:val="0"/>
            <w:vAlign w:val="top"/>
          </w:tcPr>
          <w:p>
            <w:pPr>
              <w:jc w:val="left"/>
              <w:rPr>
                <w:rFonts w:hint="eastAsia"/>
                <w:sz w:val="24"/>
                <w:szCs w:val="24"/>
              </w:rPr>
            </w:pPr>
          </w:p>
          <w:p>
            <w:pPr>
              <w:jc w:val="left"/>
              <w:rPr>
                <w:rFonts w:hint="eastAsia"/>
                <w:sz w:val="24"/>
                <w:szCs w:val="24"/>
              </w:rPr>
            </w:pPr>
            <w:r>
              <w:rPr>
                <w:rFonts w:hint="eastAsia"/>
                <w:sz w:val="24"/>
                <w:szCs w:val="24"/>
              </w:rPr>
              <w:t>小写：</w:t>
            </w:r>
          </w:p>
        </w:tc>
        <w:tc>
          <w:tcPr>
            <w:tcW w:w="768" w:type="pct"/>
            <w:vMerge w:val="restart"/>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338" w:type="pct"/>
            <w:vMerge w:val="continue"/>
            <w:noWrap w:val="0"/>
            <w:vAlign w:val="center"/>
          </w:tcPr>
          <w:p>
            <w:pPr>
              <w:jc w:val="center"/>
              <w:rPr>
                <w:rFonts w:hint="eastAsia"/>
                <w:sz w:val="24"/>
                <w:szCs w:val="24"/>
              </w:rPr>
            </w:pPr>
          </w:p>
        </w:tc>
        <w:tc>
          <w:tcPr>
            <w:tcW w:w="691" w:type="pct"/>
            <w:vMerge w:val="continue"/>
            <w:noWrap w:val="0"/>
            <w:vAlign w:val="center"/>
          </w:tcPr>
          <w:p>
            <w:pPr>
              <w:jc w:val="center"/>
              <w:rPr>
                <w:rFonts w:hint="eastAsia" w:ascii="宋体" w:hAnsi="宋体"/>
                <w:b/>
                <w:color w:val="000000"/>
                <w:sz w:val="24"/>
                <w:szCs w:val="24"/>
              </w:rPr>
            </w:pPr>
          </w:p>
        </w:tc>
        <w:tc>
          <w:tcPr>
            <w:tcW w:w="1008" w:type="pct"/>
            <w:vMerge w:val="continue"/>
            <w:noWrap w:val="0"/>
            <w:vAlign w:val="center"/>
          </w:tcPr>
          <w:p>
            <w:pPr>
              <w:jc w:val="center"/>
              <w:rPr>
                <w:rFonts w:hint="eastAsia"/>
                <w:sz w:val="24"/>
                <w:szCs w:val="24"/>
              </w:rPr>
            </w:pPr>
          </w:p>
        </w:tc>
        <w:tc>
          <w:tcPr>
            <w:tcW w:w="2192" w:type="pct"/>
            <w:noWrap w:val="0"/>
            <w:vAlign w:val="top"/>
          </w:tcPr>
          <w:p>
            <w:pPr>
              <w:jc w:val="left"/>
              <w:rPr>
                <w:rFonts w:hint="eastAsia"/>
                <w:sz w:val="24"/>
                <w:szCs w:val="24"/>
              </w:rPr>
            </w:pPr>
          </w:p>
          <w:p>
            <w:pPr>
              <w:jc w:val="left"/>
              <w:rPr>
                <w:rFonts w:hint="eastAsia"/>
                <w:sz w:val="24"/>
                <w:szCs w:val="24"/>
              </w:rPr>
            </w:pPr>
            <w:r>
              <w:rPr>
                <w:rFonts w:hint="eastAsia"/>
                <w:sz w:val="24"/>
                <w:szCs w:val="24"/>
              </w:rPr>
              <w:t>大写：</w:t>
            </w:r>
          </w:p>
        </w:tc>
        <w:tc>
          <w:tcPr>
            <w:tcW w:w="768" w:type="pct"/>
            <w:vMerge w:val="continue"/>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000" w:type="pct"/>
            <w:gridSpan w:val="5"/>
            <w:noWrap w:val="0"/>
            <w:vAlign w:val="top"/>
          </w:tcPr>
          <w:p>
            <w:pPr>
              <w:rPr>
                <w:rFonts w:hint="eastAsia"/>
                <w:sz w:val="28"/>
                <w:szCs w:val="28"/>
              </w:rPr>
            </w:pPr>
            <w:r>
              <w:rPr>
                <w:rFonts w:hint="eastAsia"/>
                <w:sz w:val="28"/>
                <w:szCs w:val="28"/>
              </w:rPr>
              <w:t>备注: 以上报价含税</w:t>
            </w:r>
            <w:r>
              <w:rPr>
                <w:rFonts w:hint="eastAsia"/>
                <w:sz w:val="28"/>
                <w:szCs w:val="28"/>
                <w:lang w:val="en-US" w:eastAsia="zh-CN"/>
              </w:rPr>
              <w:t>13%</w:t>
            </w:r>
            <w:r>
              <w:rPr>
                <w:rFonts w:hint="eastAsia"/>
                <w:sz w:val="28"/>
                <w:szCs w:val="28"/>
              </w:rPr>
              <w:t>、含运费，一票制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5000" w:type="pct"/>
            <w:gridSpan w:val="5"/>
            <w:noWrap w:val="0"/>
            <w:vAlign w:val="top"/>
          </w:tcPr>
          <w:p>
            <w:pPr>
              <w:rPr>
                <w:rFonts w:hint="eastAsia"/>
                <w:sz w:val="28"/>
                <w:szCs w:val="28"/>
              </w:rPr>
            </w:pPr>
            <w:r>
              <w:rPr>
                <w:rFonts w:hint="eastAsia"/>
                <w:sz w:val="28"/>
                <w:szCs w:val="28"/>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5000" w:type="pct"/>
            <w:gridSpan w:val="5"/>
            <w:noWrap w:val="0"/>
            <w:vAlign w:val="top"/>
          </w:tcPr>
          <w:p>
            <w:pPr>
              <w:rPr>
                <w:rFonts w:hint="eastAsia"/>
                <w:sz w:val="28"/>
                <w:szCs w:val="28"/>
              </w:rPr>
            </w:pPr>
            <w:r>
              <w:rPr>
                <w:rFonts w:hint="eastAsia"/>
                <w:sz w:val="28"/>
                <w:szCs w:val="28"/>
              </w:rPr>
              <w:t>投标单位公章及签字：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5000" w:type="pct"/>
            <w:gridSpan w:val="5"/>
            <w:noWrap w:val="0"/>
            <w:vAlign w:val="top"/>
          </w:tcPr>
          <w:p>
            <w:pPr>
              <w:rPr>
                <w:rFonts w:hint="eastAsia"/>
                <w:sz w:val="28"/>
                <w:szCs w:val="28"/>
              </w:rPr>
            </w:pPr>
            <w:r>
              <w:rPr>
                <w:rFonts w:hint="eastAsia"/>
                <w:sz w:val="28"/>
                <w:szCs w:val="28"/>
              </w:rPr>
              <w:t>日期：</w:t>
            </w:r>
          </w:p>
        </w:tc>
      </w:tr>
    </w:tbl>
    <w:p>
      <w:pPr>
        <w:rPr>
          <w:rFonts w:hint="eastAsia"/>
        </w:rPr>
      </w:pPr>
    </w:p>
    <w:p>
      <w:pPr>
        <w:bidi w:val="0"/>
        <w:rPr>
          <w:rFonts w:hint="default"/>
          <w:lang w:val="en-US" w:eastAsia="zh-CN"/>
        </w:rPr>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D3FFC"/>
    <w:multiLevelType w:val="singleLevel"/>
    <w:tmpl w:val="BAAD3FFC"/>
    <w:lvl w:ilvl="0" w:tentative="0">
      <w:start w:val="1"/>
      <w:numFmt w:val="decimal"/>
      <w:suff w:val="nothing"/>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6"/>
    <w:multiLevelType w:val="singleLevel"/>
    <w:tmpl w:val="00000006"/>
    <w:lvl w:ilvl="0" w:tentative="0">
      <w:start w:val="2"/>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B"/>
    <w:multiLevelType w:val="singleLevel"/>
    <w:tmpl w:val="0000000B"/>
    <w:lvl w:ilvl="0" w:tentative="0">
      <w:start w:val="1"/>
      <w:numFmt w:val="decimal"/>
      <w:lvlText w:val="（%1）"/>
      <w:lvlJc w:val="left"/>
      <w:pPr>
        <w:tabs>
          <w:tab w:val="left" w:pos="1125"/>
        </w:tabs>
        <w:ind w:left="1125" w:hanging="705"/>
      </w:pPr>
    </w:lvl>
  </w:abstractNum>
  <w:abstractNum w:abstractNumId="6">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0000000E"/>
    <w:multiLevelType w:val="singleLevel"/>
    <w:tmpl w:val="0000000E"/>
    <w:lvl w:ilvl="0" w:tentative="0">
      <w:start w:val="1"/>
      <w:numFmt w:val="decimal"/>
      <w:lvlText w:val="%1、"/>
      <w:lvlJc w:val="left"/>
      <w:pPr>
        <w:tabs>
          <w:tab w:val="left" w:pos="705"/>
        </w:tabs>
        <w:ind w:left="705" w:hanging="420"/>
      </w:pPr>
    </w:lvl>
  </w:abstractNum>
  <w:abstractNum w:abstractNumId="9">
    <w:nsid w:val="2C64BC62"/>
    <w:multiLevelType w:val="singleLevel"/>
    <w:tmpl w:val="2C64BC62"/>
    <w:lvl w:ilvl="0" w:tentative="0">
      <w:start w:val="1"/>
      <w:numFmt w:val="decimal"/>
      <w:lvlText w:val="%1."/>
      <w:lvlJc w:val="left"/>
      <w:pPr>
        <w:ind w:left="425" w:hanging="425"/>
      </w:pPr>
      <w:rPr>
        <w:rFonts w:hint="default"/>
      </w:rPr>
    </w:lvl>
  </w:abstractNum>
  <w:abstractNum w:abstractNumId="10">
    <w:nsid w:val="5AE2DA4B"/>
    <w:multiLevelType w:val="singleLevel"/>
    <w:tmpl w:val="5AE2DA4B"/>
    <w:lvl w:ilvl="0" w:tentative="0">
      <w:start w:val="14"/>
      <w:numFmt w:val="chineseCounting"/>
      <w:suff w:val="nothing"/>
      <w:lvlText w:val="%1、"/>
      <w:lvlJc w:val="left"/>
      <w:rPr>
        <w:rFonts w:hint="eastAsia"/>
      </w:rPr>
    </w:lvl>
  </w:abstractNum>
  <w:num w:numId="1">
    <w:abstractNumId w:val="4"/>
    <w:lvlOverride w:ilvl="0">
      <w:startOverride w:val="1"/>
    </w:lvlOverride>
  </w:num>
  <w:num w:numId="2">
    <w:abstractNumId w:val="8"/>
    <w:lvlOverride w:ilvl="0">
      <w:startOverride w:val="1"/>
    </w:lvlOverride>
  </w:num>
  <w:num w:numId="3">
    <w:abstractNumId w:val="7"/>
    <w:lvlOverride w:ilvl="0">
      <w:startOverride w:val="1"/>
    </w:lvlOverride>
  </w:num>
  <w:num w:numId="4">
    <w:abstractNumId w:val="5"/>
    <w:lvlOverride w:ilvl="0">
      <w:startOverride w:val="1"/>
    </w:lvlOverride>
  </w:num>
  <w:num w:numId="5">
    <w:abstractNumId w:val="6"/>
  </w:num>
  <w:num w:numId="6">
    <w:abstractNumId w:val="9"/>
  </w:num>
  <w:num w:numId="7">
    <w:abstractNumId w:val="10"/>
  </w:num>
  <w:num w:numId="8">
    <w:abstractNumId w:val="0"/>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935619"/>
    <w:rsid w:val="01A6379C"/>
    <w:rsid w:val="01BA37EC"/>
    <w:rsid w:val="02F9403D"/>
    <w:rsid w:val="038D2F19"/>
    <w:rsid w:val="0399230F"/>
    <w:rsid w:val="043C4162"/>
    <w:rsid w:val="04823B21"/>
    <w:rsid w:val="04CE3E6C"/>
    <w:rsid w:val="050E6648"/>
    <w:rsid w:val="05324816"/>
    <w:rsid w:val="05325D34"/>
    <w:rsid w:val="05350A6F"/>
    <w:rsid w:val="053B5FB3"/>
    <w:rsid w:val="05C52E89"/>
    <w:rsid w:val="05DE4E53"/>
    <w:rsid w:val="06CB7169"/>
    <w:rsid w:val="07BA48CA"/>
    <w:rsid w:val="0831406E"/>
    <w:rsid w:val="083A4C2B"/>
    <w:rsid w:val="085B58B3"/>
    <w:rsid w:val="08A96692"/>
    <w:rsid w:val="090F2391"/>
    <w:rsid w:val="097B7AE5"/>
    <w:rsid w:val="0AF63A42"/>
    <w:rsid w:val="0B5E1A54"/>
    <w:rsid w:val="0BFF25BD"/>
    <w:rsid w:val="0CBC295F"/>
    <w:rsid w:val="0D2F279C"/>
    <w:rsid w:val="0DF07D84"/>
    <w:rsid w:val="0E497616"/>
    <w:rsid w:val="0E842CB1"/>
    <w:rsid w:val="0F0803D8"/>
    <w:rsid w:val="0F347211"/>
    <w:rsid w:val="10031B51"/>
    <w:rsid w:val="10094A89"/>
    <w:rsid w:val="10CA64E1"/>
    <w:rsid w:val="110928F7"/>
    <w:rsid w:val="11654D47"/>
    <w:rsid w:val="11BA6270"/>
    <w:rsid w:val="135C10D5"/>
    <w:rsid w:val="139F3DA1"/>
    <w:rsid w:val="13D576D7"/>
    <w:rsid w:val="14772C2B"/>
    <w:rsid w:val="14881933"/>
    <w:rsid w:val="14F3071A"/>
    <w:rsid w:val="154D48F1"/>
    <w:rsid w:val="158A4695"/>
    <w:rsid w:val="16541AFE"/>
    <w:rsid w:val="1694444C"/>
    <w:rsid w:val="17131114"/>
    <w:rsid w:val="1724223F"/>
    <w:rsid w:val="17F97F08"/>
    <w:rsid w:val="18560C92"/>
    <w:rsid w:val="18ED4DB4"/>
    <w:rsid w:val="190E09F1"/>
    <w:rsid w:val="19B16948"/>
    <w:rsid w:val="1A8A6D05"/>
    <w:rsid w:val="1AA53F86"/>
    <w:rsid w:val="1B846959"/>
    <w:rsid w:val="1BB65A49"/>
    <w:rsid w:val="1C430554"/>
    <w:rsid w:val="1CCB1E53"/>
    <w:rsid w:val="1D2E11E1"/>
    <w:rsid w:val="1E8C7D42"/>
    <w:rsid w:val="1E8E57E6"/>
    <w:rsid w:val="1E937D02"/>
    <w:rsid w:val="1F0727C6"/>
    <w:rsid w:val="1F0B69B1"/>
    <w:rsid w:val="1F107E3E"/>
    <w:rsid w:val="1F4242F7"/>
    <w:rsid w:val="1F802445"/>
    <w:rsid w:val="1FF51B5E"/>
    <w:rsid w:val="202B640C"/>
    <w:rsid w:val="205026F2"/>
    <w:rsid w:val="205B3F9B"/>
    <w:rsid w:val="20AF2F52"/>
    <w:rsid w:val="21133B37"/>
    <w:rsid w:val="21534F77"/>
    <w:rsid w:val="21A2160C"/>
    <w:rsid w:val="21E966E6"/>
    <w:rsid w:val="224B04E8"/>
    <w:rsid w:val="22B96773"/>
    <w:rsid w:val="22E00851"/>
    <w:rsid w:val="235C23EB"/>
    <w:rsid w:val="23CB766B"/>
    <w:rsid w:val="23CE57C2"/>
    <w:rsid w:val="23D22DCD"/>
    <w:rsid w:val="246A25A2"/>
    <w:rsid w:val="25206CD2"/>
    <w:rsid w:val="25230E4D"/>
    <w:rsid w:val="25466F1F"/>
    <w:rsid w:val="258E0AE8"/>
    <w:rsid w:val="25B129B0"/>
    <w:rsid w:val="268D7081"/>
    <w:rsid w:val="26F50CB1"/>
    <w:rsid w:val="26F906B4"/>
    <w:rsid w:val="278055FF"/>
    <w:rsid w:val="288D3DC5"/>
    <w:rsid w:val="28B030F4"/>
    <w:rsid w:val="28E2171B"/>
    <w:rsid w:val="29401D6D"/>
    <w:rsid w:val="2BBB5AD5"/>
    <w:rsid w:val="2BF10F3E"/>
    <w:rsid w:val="2BF40243"/>
    <w:rsid w:val="2BFD06EE"/>
    <w:rsid w:val="2C204052"/>
    <w:rsid w:val="2C4E01C4"/>
    <w:rsid w:val="2CF31D5E"/>
    <w:rsid w:val="2E3D1B0F"/>
    <w:rsid w:val="2EA431DB"/>
    <w:rsid w:val="2EDD294B"/>
    <w:rsid w:val="2F163A70"/>
    <w:rsid w:val="302E15AB"/>
    <w:rsid w:val="3036622A"/>
    <w:rsid w:val="30474844"/>
    <w:rsid w:val="30CA3841"/>
    <w:rsid w:val="3130279D"/>
    <w:rsid w:val="313649C9"/>
    <w:rsid w:val="31DF7B93"/>
    <w:rsid w:val="324F62A8"/>
    <w:rsid w:val="32E00DA4"/>
    <w:rsid w:val="32F7522E"/>
    <w:rsid w:val="339D246B"/>
    <w:rsid w:val="342060A8"/>
    <w:rsid w:val="34BB556C"/>
    <w:rsid w:val="35212328"/>
    <w:rsid w:val="358603F2"/>
    <w:rsid w:val="36A65EF8"/>
    <w:rsid w:val="36FB2C59"/>
    <w:rsid w:val="373827F1"/>
    <w:rsid w:val="379345D1"/>
    <w:rsid w:val="37974BFF"/>
    <w:rsid w:val="37BE23C2"/>
    <w:rsid w:val="37F02022"/>
    <w:rsid w:val="37F27DC4"/>
    <w:rsid w:val="37FA0AD6"/>
    <w:rsid w:val="383E2980"/>
    <w:rsid w:val="387F2F2C"/>
    <w:rsid w:val="3A3F65BD"/>
    <w:rsid w:val="3A773720"/>
    <w:rsid w:val="3AFC391A"/>
    <w:rsid w:val="3B14535E"/>
    <w:rsid w:val="3C036E6F"/>
    <w:rsid w:val="3C3E683E"/>
    <w:rsid w:val="3C456A69"/>
    <w:rsid w:val="3C487023"/>
    <w:rsid w:val="3C887586"/>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A706B0"/>
    <w:rsid w:val="41BF02F4"/>
    <w:rsid w:val="422E1FDF"/>
    <w:rsid w:val="423C71D1"/>
    <w:rsid w:val="426213B7"/>
    <w:rsid w:val="42CE1EFE"/>
    <w:rsid w:val="435C1211"/>
    <w:rsid w:val="43DE4636"/>
    <w:rsid w:val="44106AE0"/>
    <w:rsid w:val="44367FF1"/>
    <w:rsid w:val="4500284B"/>
    <w:rsid w:val="45407B03"/>
    <w:rsid w:val="45C004AA"/>
    <w:rsid w:val="46587D68"/>
    <w:rsid w:val="46CC5915"/>
    <w:rsid w:val="47847BD9"/>
    <w:rsid w:val="47AD4330"/>
    <w:rsid w:val="48582775"/>
    <w:rsid w:val="48836EA0"/>
    <w:rsid w:val="48C72F43"/>
    <w:rsid w:val="48E1049E"/>
    <w:rsid w:val="49056F4D"/>
    <w:rsid w:val="49280B38"/>
    <w:rsid w:val="492C5B3D"/>
    <w:rsid w:val="49A4783E"/>
    <w:rsid w:val="4A790DED"/>
    <w:rsid w:val="4A85340F"/>
    <w:rsid w:val="4ACE7F4F"/>
    <w:rsid w:val="4AED65F2"/>
    <w:rsid w:val="4B635392"/>
    <w:rsid w:val="4BA21255"/>
    <w:rsid w:val="4DC66F68"/>
    <w:rsid w:val="514F2EE0"/>
    <w:rsid w:val="51A458AF"/>
    <w:rsid w:val="527F49C8"/>
    <w:rsid w:val="52E54E97"/>
    <w:rsid w:val="52EE0AE7"/>
    <w:rsid w:val="536967A8"/>
    <w:rsid w:val="53AB6FFE"/>
    <w:rsid w:val="5403556E"/>
    <w:rsid w:val="54664C18"/>
    <w:rsid w:val="554C057B"/>
    <w:rsid w:val="56065626"/>
    <w:rsid w:val="562E1D47"/>
    <w:rsid w:val="566E6D8E"/>
    <w:rsid w:val="56B606CC"/>
    <w:rsid w:val="56FF0A43"/>
    <w:rsid w:val="57AC75B3"/>
    <w:rsid w:val="57D705F2"/>
    <w:rsid w:val="57EA4190"/>
    <w:rsid w:val="59677D4F"/>
    <w:rsid w:val="598A03E4"/>
    <w:rsid w:val="5AAF6E02"/>
    <w:rsid w:val="5AEA3AD0"/>
    <w:rsid w:val="5B1D2529"/>
    <w:rsid w:val="5B35349E"/>
    <w:rsid w:val="5B3F7D83"/>
    <w:rsid w:val="5B527398"/>
    <w:rsid w:val="5BA959B9"/>
    <w:rsid w:val="5CC70FAC"/>
    <w:rsid w:val="5D173705"/>
    <w:rsid w:val="5D1B4B8A"/>
    <w:rsid w:val="5D915ACD"/>
    <w:rsid w:val="5E093F5D"/>
    <w:rsid w:val="5E611270"/>
    <w:rsid w:val="5EB2026E"/>
    <w:rsid w:val="5FA30C9C"/>
    <w:rsid w:val="5FE13E30"/>
    <w:rsid w:val="60883A59"/>
    <w:rsid w:val="61033D16"/>
    <w:rsid w:val="623E76D0"/>
    <w:rsid w:val="625B24D7"/>
    <w:rsid w:val="62CD795C"/>
    <w:rsid w:val="6438579B"/>
    <w:rsid w:val="655749FB"/>
    <w:rsid w:val="65E5671A"/>
    <w:rsid w:val="66EA0C9A"/>
    <w:rsid w:val="66FB3BC1"/>
    <w:rsid w:val="67023348"/>
    <w:rsid w:val="6753255C"/>
    <w:rsid w:val="678F7868"/>
    <w:rsid w:val="686F59C5"/>
    <w:rsid w:val="68985C4A"/>
    <w:rsid w:val="68BB275A"/>
    <w:rsid w:val="695E0A51"/>
    <w:rsid w:val="6AE713EB"/>
    <w:rsid w:val="6B015D37"/>
    <w:rsid w:val="6B8D7C67"/>
    <w:rsid w:val="6B9014C7"/>
    <w:rsid w:val="6C7B13C4"/>
    <w:rsid w:val="6C7F53F5"/>
    <w:rsid w:val="6CA73029"/>
    <w:rsid w:val="6D027CD6"/>
    <w:rsid w:val="6DD71BCE"/>
    <w:rsid w:val="6E3164EF"/>
    <w:rsid w:val="6E550ED4"/>
    <w:rsid w:val="6EA5652C"/>
    <w:rsid w:val="6ECD772E"/>
    <w:rsid w:val="6ED71557"/>
    <w:rsid w:val="6F0C38CA"/>
    <w:rsid w:val="6F6774FE"/>
    <w:rsid w:val="70243E6C"/>
    <w:rsid w:val="706A3FF6"/>
    <w:rsid w:val="70737BDA"/>
    <w:rsid w:val="70D03715"/>
    <w:rsid w:val="70E0155E"/>
    <w:rsid w:val="711219DD"/>
    <w:rsid w:val="713C5670"/>
    <w:rsid w:val="719201E7"/>
    <w:rsid w:val="71F96DCA"/>
    <w:rsid w:val="72107C5B"/>
    <w:rsid w:val="732D2693"/>
    <w:rsid w:val="73476175"/>
    <w:rsid w:val="7357254E"/>
    <w:rsid w:val="73611393"/>
    <w:rsid w:val="7431112D"/>
    <w:rsid w:val="749D6575"/>
    <w:rsid w:val="754F1E1A"/>
    <w:rsid w:val="761859F6"/>
    <w:rsid w:val="76206BC5"/>
    <w:rsid w:val="770E210B"/>
    <w:rsid w:val="773210D8"/>
    <w:rsid w:val="77846985"/>
    <w:rsid w:val="778A5616"/>
    <w:rsid w:val="77F80B55"/>
    <w:rsid w:val="780E1C86"/>
    <w:rsid w:val="78184195"/>
    <w:rsid w:val="784D0939"/>
    <w:rsid w:val="78C639C7"/>
    <w:rsid w:val="78E1515C"/>
    <w:rsid w:val="790731F3"/>
    <w:rsid w:val="790756AF"/>
    <w:rsid w:val="7949658A"/>
    <w:rsid w:val="797A02ED"/>
    <w:rsid w:val="79B23223"/>
    <w:rsid w:val="79DE1204"/>
    <w:rsid w:val="7A447EB1"/>
    <w:rsid w:val="7A6263B1"/>
    <w:rsid w:val="7A757773"/>
    <w:rsid w:val="7ADF17B7"/>
    <w:rsid w:val="7AEB0EA5"/>
    <w:rsid w:val="7AF9718A"/>
    <w:rsid w:val="7B386B42"/>
    <w:rsid w:val="7BBC102F"/>
    <w:rsid w:val="7BD509C2"/>
    <w:rsid w:val="7BDC0741"/>
    <w:rsid w:val="7C070CDC"/>
    <w:rsid w:val="7C9625E2"/>
    <w:rsid w:val="7D0716F9"/>
    <w:rsid w:val="7D2A47F3"/>
    <w:rsid w:val="7DBA6C81"/>
    <w:rsid w:val="7F3F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2"/>
    <w:qFormat/>
    <w:uiPriority w:val="0"/>
    <w:rPr>
      <w:rFonts w:ascii="宋体" w:hAnsi="宋体"/>
      <w:b/>
      <w:sz w:val="36"/>
      <w:szCs w:val="36"/>
    </w:rPr>
  </w:style>
  <w:style w:type="character" w:customStyle="1" w:styleId="17">
    <w:name w:val="正文文本 Char"/>
    <w:basedOn w:val="11"/>
    <w:link w:val="3"/>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1</TotalTime>
  <ScaleCrop>false</ScaleCrop>
  <LinksUpToDate>false</LinksUpToDate>
  <CharactersWithSpaces>5037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2021-06-17T07:48:32Z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453E5B5609E442AFA1DE49CA80052D1B</vt:lpwstr>
  </property>
</Properties>
</file>