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eastAsia="zh-CN"/>
        </w:rPr>
        <w:t>四合一集控中心</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14</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LG</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09</w:t>
      </w:r>
      <w:bookmarkStart w:id="0" w:name="_GoBack"/>
      <w:bookmarkEnd w:id="0"/>
      <w:r>
        <w:rPr>
          <w:rFonts w:hint="eastAsia" w:ascii="宋体" w:hAnsi="宋体"/>
          <w:color w:val="000000"/>
          <w:sz w:val="24"/>
          <w:szCs w:val="24"/>
          <w:lang w:val="en-US" w:eastAsia="zh-CN"/>
        </w:rPr>
        <w:t>SHYJKZX</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四合一集控中心</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石红斌</w:t>
      </w:r>
      <w:r>
        <w:rPr>
          <w:rFonts w:hint="eastAsia" w:ascii="宋体" w:hAnsi="宋体" w:cs="宋体"/>
          <w:sz w:val="24"/>
          <w:szCs w:val="24"/>
          <w:lang w:val="en-US" w:eastAsia="zh-CN"/>
        </w:rPr>
        <w:t xml:space="preserve">    15055767596</w:t>
      </w:r>
    </w:p>
    <w:p>
      <w:pPr>
        <w:ind w:firstLine="600" w:firstLineChars="250"/>
        <w:rPr>
          <w:rFonts w:hint="default" w:ascii="宋体" w:hAnsi="宋体"/>
          <w:sz w:val="24"/>
          <w:szCs w:val="24"/>
          <w:lang w:val="en-US" w:eastAsia="zh-CN"/>
        </w:rPr>
      </w:pPr>
      <w:r>
        <w:rPr>
          <w:rFonts w:hint="eastAsia" w:ascii="宋体" w:hAnsi="宋体"/>
          <w:sz w:val="24"/>
          <w:szCs w:val="24"/>
          <w:lang w:eastAsia="zh-CN"/>
        </w:rPr>
        <w:t>轧钢</w:t>
      </w:r>
      <w:r>
        <w:rPr>
          <w:rFonts w:hint="eastAsia" w:ascii="宋体" w:hAnsi="宋体"/>
          <w:sz w:val="24"/>
          <w:szCs w:val="24"/>
        </w:rPr>
        <w:t xml:space="preserve">部：        </w:t>
      </w:r>
      <w:r>
        <w:rPr>
          <w:rFonts w:hint="eastAsia" w:ascii="宋体" w:hAnsi="宋体"/>
          <w:sz w:val="24"/>
          <w:szCs w:val="24"/>
          <w:lang w:val="en-US" w:eastAsia="zh-CN"/>
        </w:rPr>
        <w:t>张飞飞    15375111115</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sz w:val="24"/>
          <w:szCs w:val="24"/>
          <w:u w:val="single"/>
          <w:lang w:val="en-US" w:eastAsia="zh-CN"/>
        </w:rPr>
        <w:t>21</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7</w:t>
      </w:r>
      <w:r>
        <w:rPr>
          <w:rFonts w:ascii="宋体" w:hAnsi="宋体"/>
          <w:bCs/>
          <w:sz w:val="24"/>
          <w:szCs w:val="24"/>
          <w:highlight w:val="none"/>
        </w:rPr>
        <w:t>月</w:t>
      </w:r>
      <w:r>
        <w:rPr>
          <w:rFonts w:hint="eastAsia" w:ascii="宋体" w:hAnsi="宋体"/>
          <w:bCs/>
          <w:sz w:val="24"/>
          <w:szCs w:val="24"/>
          <w:highlight w:val="none"/>
          <w:u w:val="single"/>
          <w:lang w:val="en-US" w:eastAsia="zh-CN"/>
        </w:rPr>
        <w:t>22</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伍仟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7</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21</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商务偏差表</w:t>
      </w:r>
      <w:r>
        <w:rPr>
          <w:rFonts w:hint="eastAsia" w:ascii="宋体" w:hAnsi="宋体"/>
          <w:sz w:val="24"/>
          <w:szCs w:val="24"/>
          <w:lang w:eastAsia="zh-CN"/>
        </w:rPr>
        <w:t>或</w:t>
      </w:r>
      <w:r>
        <w:rPr>
          <w:rFonts w:hint="eastAsia" w:ascii="宋体" w:hAnsi="宋体"/>
          <w:sz w:val="24"/>
          <w:szCs w:val="24"/>
        </w:rPr>
        <w:t>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四合一集控中心</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四合一集控中心</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满足《炼钢四合一集控中心技术规格书》的技术要求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50</w:t>
      </w:r>
      <w:r>
        <w:rPr>
          <w:rFonts w:hint="eastAsia" w:ascii="宋体" w:hAnsi="宋体"/>
          <w:b/>
          <w:color w:val="FF0000"/>
          <w:sz w:val="24"/>
          <w:szCs w:val="24"/>
        </w:rPr>
        <w:t>万元（大写：</w:t>
      </w:r>
      <w:r>
        <w:rPr>
          <w:rFonts w:hint="eastAsia" w:ascii="宋体" w:hAnsi="宋体"/>
          <w:b/>
          <w:color w:val="FF0000"/>
          <w:sz w:val="24"/>
          <w:szCs w:val="24"/>
          <w:lang w:eastAsia="zh-CN"/>
        </w:rPr>
        <w:t>伍拾万元整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rFonts w:hint="eastAsia"/>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b/>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四合一集控中心报价明细表</w:t>
            </w:r>
          </w:p>
        </w:tc>
      </w:tr>
      <w:tr>
        <w:tblPrEx>
          <w:shd w:val="clear" w:color="auto" w:fill="auto"/>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shd w:val="clear" w:color="auto" w:fill="auto"/>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shd w:val="clear" w:color="auto" w:fill="auto"/>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shd w:val="clear" w:color="auto" w:fill="auto"/>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8B57EF"/>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0FB45D6"/>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9B27026"/>
    <w:rsid w:val="49CE5328"/>
    <w:rsid w:val="4AEE666D"/>
    <w:rsid w:val="4B635392"/>
    <w:rsid w:val="4BA21255"/>
    <w:rsid w:val="4C7F10C2"/>
    <w:rsid w:val="4D67667C"/>
    <w:rsid w:val="4DC66F68"/>
    <w:rsid w:val="51A458AF"/>
    <w:rsid w:val="527641F5"/>
    <w:rsid w:val="52EE0AE7"/>
    <w:rsid w:val="53AC1C05"/>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134051"/>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AC052B"/>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583FC9"/>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1362</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2021-07-14T01:41:13Z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