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Fonts w:ascii="宋体" w:hAnsi="宋体"/>
          <w:b/>
          <w:sz w:val="44"/>
        </w:rPr>
      </w:pPr>
      <w:r>
        <w:rPr>
          <w:rFonts w:hint="eastAsia" w:ascii="宋体" w:hAnsi="宋体"/>
          <w:b/>
          <w:sz w:val="44"/>
        </w:rPr>
        <w:t>芜湖新兴铸管有限责任公司</w:t>
      </w:r>
    </w:p>
    <w:p>
      <w:pPr>
        <w:jc w:val="center"/>
        <w:rPr>
          <w:rFonts w:hint="eastAsia" w:ascii="宋体" w:hAnsi="宋体"/>
          <w:b/>
          <w:sz w:val="28"/>
          <w:szCs w:val="28"/>
        </w:rPr>
      </w:pPr>
      <w:r>
        <w:rPr>
          <w:rFonts w:hint="eastAsia" w:ascii="宋体" w:hAnsi="宋体"/>
          <w:b/>
          <w:sz w:val="44"/>
        </w:rPr>
        <w:t>炼钢四合一集控中心设备</w:t>
      </w:r>
    </w:p>
    <w:p>
      <w:pPr>
        <w:ind w:left="9225" w:leftChars="2254" w:hanging="4492" w:hangingChars="1598"/>
        <w:rPr>
          <w:rFonts w:hint="eastAsia" w:ascii="宋体" w:hAnsi="宋体"/>
          <w:b/>
          <w:sz w:val="28"/>
          <w:szCs w:val="28"/>
        </w:rPr>
      </w:pPr>
    </w:p>
    <w:p>
      <w:pPr>
        <w:ind w:left="9225" w:leftChars="2254" w:hanging="4492" w:hangingChars="1598"/>
        <w:rPr>
          <w:rFonts w:hint="eastAsia" w:ascii="宋体" w:hAnsi="宋体"/>
          <w:b/>
          <w:sz w:val="28"/>
          <w:szCs w:val="28"/>
        </w:rPr>
      </w:pPr>
    </w:p>
    <w:p>
      <w:pPr>
        <w:pStyle w:val="6"/>
        <w:spacing w:line="360" w:lineRule="auto"/>
        <w:jc w:val="center"/>
        <w:rPr>
          <w:rFonts w:hint="eastAsia" w:ascii="宋体" w:hAnsi="宋体"/>
          <w:b/>
          <w:spacing w:val="120"/>
          <w:sz w:val="44"/>
          <w:szCs w:val="44"/>
        </w:rPr>
      </w:pPr>
    </w:p>
    <w:p>
      <w:pPr>
        <w:pStyle w:val="6"/>
        <w:spacing w:line="360" w:lineRule="auto"/>
        <w:jc w:val="center"/>
        <w:rPr>
          <w:rFonts w:hint="eastAsia" w:ascii="宋体" w:hAnsi="宋体"/>
          <w:b/>
          <w:spacing w:val="120"/>
          <w:sz w:val="44"/>
          <w:szCs w:val="44"/>
        </w:rPr>
      </w:pPr>
      <w:r>
        <w:rPr>
          <w:rFonts w:hint="eastAsia" w:ascii="宋体" w:hAnsi="宋体"/>
          <w:b/>
          <w:spacing w:val="120"/>
          <w:sz w:val="44"/>
          <w:szCs w:val="44"/>
        </w:rPr>
        <w:t>技</w:t>
      </w:r>
    </w:p>
    <w:p>
      <w:pPr>
        <w:pStyle w:val="6"/>
        <w:spacing w:line="360" w:lineRule="auto"/>
        <w:jc w:val="center"/>
        <w:rPr>
          <w:rFonts w:hint="eastAsia" w:ascii="宋体" w:hAnsi="宋体"/>
          <w:b/>
          <w:spacing w:val="120"/>
          <w:sz w:val="44"/>
          <w:szCs w:val="44"/>
        </w:rPr>
      </w:pPr>
      <w:r>
        <w:rPr>
          <w:rFonts w:hint="eastAsia" w:ascii="宋体" w:hAnsi="宋体"/>
          <w:b/>
          <w:spacing w:val="120"/>
          <w:sz w:val="44"/>
          <w:szCs w:val="44"/>
        </w:rPr>
        <w:t>术</w:t>
      </w:r>
    </w:p>
    <w:p>
      <w:pPr>
        <w:pStyle w:val="6"/>
        <w:spacing w:line="360" w:lineRule="auto"/>
        <w:jc w:val="center"/>
        <w:rPr>
          <w:rFonts w:hint="eastAsia" w:ascii="宋体" w:hAnsi="宋体"/>
          <w:b/>
          <w:spacing w:val="120"/>
          <w:sz w:val="44"/>
          <w:szCs w:val="44"/>
        </w:rPr>
      </w:pPr>
      <w:r>
        <w:rPr>
          <w:rFonts w:hint="eastAsia" w:ascii="宋体" w:hAnsi="宋体"/>
          <w:b/>
          <w:spacing w:val="120"/>
          <w:sz w:val="44"/>
          <w:szCs w:val="44"/>
        </w:rPr>
        <w:t>规</w:t>
      </w:r>
    </w:p>
    <w:p>
      <w:pPr>
        <w:pStyle w:val="6"/>
        <w:spacing w:line="360" w:lineRule="auto"/>
        <w:jc w:val="center"/>
        <w:rPr>
          <w:rFonts w:hint="eastAsia" w:ascii="宋体" w:hAnsi="宋体"/>
          <w:b/>
          <w:spacing w:val="120"/>
          <w:sz w:val="44"/>
          <w:szCs w:val="44"/>
        </w:rPr>
      </w:pPr>
      <w:r>
        <w:rPr>
          <w:rFonts w:hint="eastAsia" w:ascii="宋体" w:hAnsi="宋体"/>
          <w:b/>
          <w:spacing w:val="120"/>
          <w:sz w:val="44"/>
          <w:szCs w:val="44"/>
        </w:rPr>
        <w:t>格</w:t>
      </w:r>
    </w:p>
    <w:p>
      <w:pPr>
        <w:pStyle w:val="6"/>
        <w:spacing w:line="360" w:lineRule="auto"/>
        <w:jc w:val="center"/>
        <w:rPr>
          <w:rFonts w:ascii="宋体" w:hAnsi="宋体"/>
          <w:b/>
          <w:spacing w:val="120"/>
          <w:sz w:val="44"/>
          <w:szCs w:val="44"/>
        </w:rPr>
      </w:pPr>
      <w:r>
        <w:rPr>
          <w:rFonts w:hint="eastAsia" w:ascii="宋体" w:hAnsi="宋体"/>
          <w:b/>
          <w:spacing w:val="120"/>
          <w:sz w:val="44"/>
          <w:szCs w:val="44"/>
        </w:rPr>
        <w:t>书</w:t>
      </w:r>
    </w:p>
    <w:p>
      <w:pPr>
        <w:pStyle w:val="7"/>
        <w:snapToGrid w:val="0"/>
        <w:spacing w:line="360" w:lineRule="auto"/>
        <w:ind w:firstLine="480" w:firstLineChars="200"/>
        <w:jc w:val="left"/>
        <w:rPr>
          <w:rFonts w:ascii="宋体" w:hAnsi="宋体"/>
          <w:bCs/>
          <w:sz w:val="24"/>
          <w:szCs w:val="24"/>
        </w:rPr>
      </w:pPr>
    </w:p>
    <w:p>
      <w:pPr>
        <w:pStyle w:val="7"/>
        <w:snapToGrid w:val="0"/>
        <w:spacing w:line="360" w:lineRule="auto"/>
        <w:ind w:firstLine="570"/>
        <w:jc w:val="left"/>
        <w:rPr>
          <w:rFonts w:hint="eastAsia" w:ascii="宋体" w:hAnsi="宋体"/>
          <w:bCs/>
          <w:sz w:val="24"/>
          <w:szCs w:val="24"/>
        </w:rPr>
      </w:pPr>
    </w:p>
    <w:p>
      <w:pPr>
        <w:pStyle w:val="7"/>
        <w:snapToGrid w:val="0"/>
        <w:spacing w:line="360" w:lineRule="auto"/>
        <w:ind w:firstLine="570"/>
        <w:jc w:val="left"/>
        <w:rPr>
          <w:rFonts w:hint="eastAsia" w:ascii="宋体" w:hAnsi="宋体"/>
          <w:bCs/>
          <w:sz w:val="24"/>
          <w:szCs w:val="24"/>
        </w:rPr>
      </w:pPr>
    </w:p>
    <w:p>
      <w:pPr>
        <w:pStyle w:val="7"/>
        <w:snapToGrid w:val="0"/>
        <w:spacing w:line="360" w:lineRule="auto"/>
        <w:ind w:firstLine="570"/>
        <w:jc w:val="left"/>
        <w:rPr>
          <w:rFonts w:hint="eastAsia" w:ascii="宋体" w:hAnsi="宋体"/>
          <w:bCs/>
          <w:sz w:val="24"/>
          <w:szCs w:val="24"/>
        </w:rPr>
      </w:pPr>
      <w:r>
        <w:rPr>
          <w:rFonts w:hint="eastAsia" w:ascii="宋体" w:hAnsi="宋体"/>
          <w:bCs/>
          <w:sz w:val="24"/>
          <w:szCs w:val="24"/>
        </w:rPr>
        <w:t xml:space="preserve">   </w:t>
      </w:r>
    </w:p>
    <w:p>
      <w:pPr>
        <w:pStyle w:val="7"/>
        <w:snapToGrid w:val="0"/>
        <w:spacing w:line="360" w:lineRule="auto"/>
        <w:ind w:firstLine="570"/>
        <w:jc w:val="left"/>
        <w:rPr>
          <w:rFonts w:hint="eastAsia" w:ascii="楷体_GB2312" w:hAnsi="宋体" w:eastAsia="楷体_GB2312"/>
          <w:sz w:val="28"/>
          <w:szCs w:val="28"/>
        </w:rPr>
      </w:pPr>
    </w:p>
    <w:p>
      <w:pPr>
        <w:spacing w:line="300" w:lineRule="exact"/>
        <w:ind w:left="8565" w:leftChars="1612" w:hanging="5180" w:hangingChars="1850"/>
        <w:rPr>
          <w:rFonts w:hint="eastAsia" w:ascii="楷体_GB2312" w:hAnsi="宋体" w:eastAsia="楷体_GB2312"/>
          <w:sz w:val="28"/>
          <w:szCs w:val="28"/>
        </w:rPr>
      </w:pPr>
      <w:r>
        <w:rPr>
          <w:rFonts w:hint="eastAsia" w:ascii="楷体_GB2312" w:hAnsi="宋体" w:eastAsia="楷体_GB2312"/>
          <w:sz w:val="28"/>
          <w:szCs w:val="28"/>
        </w:rPr>
        <w:t xml:space="preserve">编写： </w:t>
      </w:r>
    </w:p>
    <w:p>
      <w:pPr>
        <w:ind w:left="8565" w:leftChars="1612" w:hanging="5180" w:hangingChars="1850"/>
        <w:rPr>
          <w:rFonts w:hint="eastAsia" w:ascii="楷体_GB2312" w:hAnsi="宋体" w:eastAsia="楷体_GB2312"/>
          <w:sz w:val="28"/>
          <w:szCs w:val="28"/>
        </w:rPr>
      </w:pPr>
      <w:r>
        <w:rPr>
          <w:rFonts w:hint="eastAsia" w:ascii="楷体_GB2312" w:hAnsi="宋体" w:eastAsia="楷体_GB2312"/>
          <w:sz w:val="28"/>
          <w:szCs w:val="28"/>
        </w:rPr>
        <w:t xml:space="preserve"> </w:t>
      </w:r>
    </w:p>
    <w:p>
      <w:pPr>
        <w:spacing w:line="300" w:lineRule="exact"/>
        <w:ind w:left="8565" w:leftChars="1612" w:hanging="5180" w:hangingChars="1850"/>
        <w:rPr>
          <w:rFonts w:hint="eastAsia" w:ascii="宋体" w:hAnsi="宋体"/>
          <w:sz w:val="28"/>
          <w:szCs w:val="28"/>
        </w:rPr>
      </w:pPr>
      <w:r>
        <w:rPr>
          <w:rFonts w:hint="eastAsia" w:ascii="宋体" w:hAnsi="宋体"/>
          <w:sz w:val="28"/>
          <w:szCs w:val="28"/>
        </w:rPr>
        <w:t xml:space="preserve"> </w:t>
      </w:r>
    </w:p>
    <w:p>
      <w:pPr>
        <w:spacing w:line="300" w:lineRule="exact"/>
        <w:ind w:left="8565" w:leftChars="1612" w:hanging="5180" w:hangingChars="1850"/>
        <w:rPr>
          <w:rFonts w:hint="eastAsia" w:ascii="楷体_GB2312" w:hAnsi="宋体" w:eastAsia="楷体_GB2312"/>
          <w:sz w:val="28"/>
          <w:szCs w:val="28"/>
        </w:rPr>
      </w:pPr>
      <w:r>
        <w:rPr>
          <w:rFonts w:hint="eastAsia" w:ascii="楷体_GB2312" w:hAnsi="宋体" w:eastAsia="楷体_GB2312"/>
          <w:sz w:val="28"/>
          <w:szCs w:val="28"/>
        </w:rPr>
        <w:t>批准：</w:t>
      </w:r>
    </w:p>
    <w:p>
      <w:pPr>
        <w:pStyle w:val="7"/>
        <w:snapToGrid w:val="0"/>
        <w:spacing w:line="360" w:lineRule="auto"/>
        <w:ind w:firstLine="570"/>
        <w:jc w:val="left"/>
        <w:rPr>
          <w:rFonts w:hint="eastAsia" w:ascii="宋体" w:hAnsi="宋体"/>
          <w:bCs/>
          <w:sz w:val="24"/>
          <w:szCs w:val="24"/>
        </w:rPr>
      </w:pPr>
    </w:p>
    <w:p>
      <w:pPr>
        <w:pStyle w:val="7"/>
        <w:snapToGrid w:val="0"/>
        <w:spacing w:line="360" w:lineRule="auto"/>
        <w:ind w:firstLine="570"/>
        <w:jc w:val="left"/>
        <w:rPr>
          <w:rFonts w:hint="eastAsia" w:ascii="宋体" w:hAnsi="宋体"/>
          <w:bCs/>
          <w:sz w:val="24"/>
          <w:szCs w:val="24"/>
        </w:rPr>
      </w:pPr>
    </w:p>
    <w:p>
      <w:pPr>
        <w:pStyle w:val="7"/>
        <w:snapToGrid w:val="0"/>
        <w:spacing w:line="360" w:lineRule="auto"/>
        <w:ind w:firstLine="570"/>
        <w:jc w:val="left"/>
        <w:rPr>
          <w:rFonts w:hint="eastAsia" w:ascii="宋体" w:hAnsi="宋体"/>
          <w:bCs/>
          <w:sz w:val="24"/>
          <w:szCs w:val="24"/>
        </w:rPr>
      </w:pPr>
    </w:p>
    <w:p>
      <w:pPr>
        <w:pStyle w:val="7"/>
        <w:snapToGrid w:val="0"/>
        <w:spacing w:line="360" w:lineRule="auto"/>
        <w:ind w:firstLine="570"/>
        <w:jc w:val="left"/>
        <w:rPr>
          <w:rFonts w:hint="eastAsia" w:ascii="宋体" w:hAnsi="宋体"/>
          <w:bCs/>
          <w:sz w:val="24"/>
          <w:szCs w:val="24"/>
        </w:rPr>
      </w:pPr>
      <w:r>
        <w:rPr>
          <w:rFonts w:hint="eastAsia" w:ascii="宋体" w:hAnsi="宋体"/>
          <w:bCs/>
          <w:sz w:val="24"/>
          <w:szCs w:val="24"/>
        </w:rPr>
        <w:t xml:space="preserve">  </w:t>
      </w:r>
    </w:p>
    <w:p>
      <w:pPr>
        <w:snapToGrid w:val="0"/>
        <w:spacing w:line="360" w:lineRule="auto"/>
        <w:jc w:val="center"/>
        <w:rPr>
          <w:rFonts w:hint="eastAsia" w:ascii="楷体_GB2312" w:hAnsi="宋体" w:eastAsia="楷体_GB2312"/>
          <w:b/>
          <w:sz w:val="28"/>
          <w:szCs w:val="28"/>
        </w:rPr>
      </w:pPr>
      <w:r>
        <w:rPr>
          <w:rFonts w:hint="eastAsia" w:ascii="楷体_GB2312" w:hAnsi="宋体" w:eastAsia="楷体_GB2312"/>
          <w:b/>
          <w:sz w:val="28"/>
          <w:szCs w:val="28"/>
        </w:rPr>
        <w:t>芜湖新兴铸管有限责任公司</w:t>
      </w:r>
    </w:p>
    <w:p>
      <w:pPr>
        <w:snapToGrid w:val="0"/>
        <w:spacing w:line="360" w:lineRule="auto"/>
        <w:jc w:val="center"/>
        <w:rPr>
          <w:rFonts w:hint="eastAsia" w:eastAsia="楷体_GB2312"/>
          <w:b/>
          <w:bCs/>
          <w:lang w:val="en-US" w:eastAsia="zh-CN"/>
        </w:rPr>
      </w:pPr>
      <w:r>
        <w:rPr>
          <w:rFonts w:hint="eastAsia" w:ascii="楷体_GB2312" w:hAnsi="宋体" w:eastAsia="楷体_GB2312"/>
          <w:b/>
          <w:sz w:val="28"/>
          <w:szCs w:val="28"/>
        </w:rPr>
        <w:t>2021.07.0</w:t>
      </w:r>
      <w:r>
        <w:rPr>
          <w:rFonts w:hint="eastAsia" w:ascii="楷体_GB2312" w:hAnsi="宋体" w:eastAsia="楷体_GB2312"/>
          <w:b/>
          <w:sz w:val="28"/>
          <w:szCs w:val="28"/>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一、概况说明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炼钢原材料主要工序有上料、汽化、除尘、闷渣等组成，目前4个区域生产视频监控系统与DCS系统独立建设。本次集控中心建设，以尽量利旧的原则，实现在以炼钢3F新操作室为中心的生产远程集中控制监测为目标，形成可视化集中控制的操控中心。满足降本增效，提质保量的基本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eastAsia="宋体"/>
          <w:b/>
          <w:bCs/>
          <w:lang w:val="en-US" w:eastAsia="zh-CN"/>
        </w:rPr>
      </w:pPr>
      <w:r>
        <w:rPr>
          <w:rFonts w:hint="eastAsia"/>
          <w:b/>
          <w:bCs/>
          <w:lang w:val="en-US" w:eastAsia="zh-CN"/>
        </w:rPr>
        <w:t>二、功能要求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kern w:val="2"/>
          <w:sz w:val="21"/>
          <w:szCs w:val="24"/>
          <w:lang w:val="en-US" w:eastAsia="zh-CN" w:bidi="ar-SA"/>
        </w:rPr>
      </w:pPr>
      <w:r>
        <w:rPr>
          <w:rFonts w:hint="eastAsia" w:cs="宋体"/>
          <w:kern w:val="2"/>
          <w:sz w:val="21"/>
          <w:szCs w:val="24"/>
          <w:lang w:val="en-US" w:eastAsia="zh-CN" w:bidi="ar-SA"/>
        </w:rPr>
        <w:t>本次项目主要是新增部分视频监控系统、生产DCS系统改造与新建操作室的信息化及原有系统等集成控制方案。将上料、汽化、除尘、闷渣区域所属DCS系统迁移至炼钢3F新操作室，并通过大屏画面上墙。实现上料、汽化、除尘、闷渣区域的生产视频监控整合上墙；上料区需实现重点部位的视频监控覆盖；上料区需实现货车的出入与卸料作业调度控制。具体功能如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1、上料区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cs="宋体"/>
          <w:kern w:val="2"/>
          <w:sz w:val="21"/>
          <w:szCs w:val="24"/>
          <w:lang w:val="en-US" w:eastAsia="zh-CN" w:bidi="ar-SA"/>
        </w:rPr>
      </w:pPr>
      <w:r>
        <w:rPr>
          <w:rFonts w:hint="eastAsia" w:cs="宋体"/>
          <w:kern w:val="2"/>
          <w:sz w:val="21"/>
          <w:szCs w:val="24"/>
          <w:lang w:val="en-US" w:eastAsia="zh-CN" w:bidi="ar-SA"/>
        </w:rPr>
        <w:t>需对以下功能进行集成定制软件开发，所涉及的人工电子作业流程在同一个软件客户端下实现，实现信息化的多方作业协同。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kern w:val="2"/>
          <w:sz w:val="21"/>
          <w:szCs w:val="24"/>
          <w:lang w:val="en-US" w:eastAsia="zh-CN" w:bidi="ar-SA"/>
        </w:rPr>
      </w:pPr>
      <w:r>
        <w:rPr>
          <w:rFonts w:hint="eastAsia" w:cs="宋体"/>
          <w:b/>
          <w:bCs/>
          <w:kern w:val="2"/>
          <w:sz w:val="21"/>
          <w:szCs w:val="24"/>
          <w:lang w:val="en-US" w:eastAsia="zh-CN" w:bidi="ar-SA"/>
        </w:rPr>
        <w:t>车牌识别要求</w:t>
      </w:r>
      <w:r>
        <w:rPr>
          <w:rFonts w:hint="eastAsia" w:cs="宋体"/>
          <w:kern w:val="2"/>
          <w:sz w:val="21"/>
          <w:szCs w:val="24"/>
          <w:lang w:val="en-US" w:eastAsia="zh-CN" w:bidi="ar-SA"/>
        </w:rPr>
        <w:t>：需要在上料区出入口安装车牌识别摄像机，实现对上料区域的大货车车牌识别功能，通过软件系统实时抓牌货车车牌号，推送至软件平台客户端，供调度人员进行远程识别与记录。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kern w:val="2"/>
          <w:sz w:val="21"/>
          <w:szCs w:val="24"/>
          <w:lang w:val="en-US" w:eastAsia="zh-CN" w:bidi="ar-SA"/>
        </w:rPr>
      </w:pPr>
      <w:r>
        <w:rPr>
          <w:rFonts w:hint="eastAsia" w:cs="宋体"/>
          <w:b/>
          <w:bCs/>
          <w:kern w:val="2"/>
          <w:sz w:val="21"/>
          <w:szCs w:val="24"/>
          <w:lang w:val="en-US" w:eastAsia="zh-CN" w:bidi="ar-SA"/>
        </w:rPr>
        <w:t>分屏显示要求：</w:t>
      </w:r>
      <w:r>
        <w:rPr>
          <w:rFonts w:hint="eastAsia" w:cs="宋体"/>
          <w:kern w:val="2"/>
          <w:sz w:val="21"/>
          <w:szCs w:val="24"/>
          <w:lang w:val="en-US" w:eastAsia="zh-CN" w:bidi="ar-SA"/>
        </w:rPr>
        <w:t>货车出入口区域控制室原物流系统放置二维码扫码枪与读卡器，需在货车出入口区域控制室与新建中控室分别安装显示器，实现实现刷卡、扫码记录同屏显示功能。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kern w:val="2"/>
          <w:sz w:val="21"/>
          <w:szCs w:val="24"/>
          <w:lang w:val="en-US" w:eastAsia="zh-CN" w:bidi="ar-SA"/>
        </w:rPr>
      </w:pPr>
      <w:r>
        <w:rPr>
          <w:rFonts w:hint="eastAsia" w:cs="宋体"/>
          <w:b/>
          <w:bCs/>
          <w:kern w:val="2"/>
          <w:sz w:val="21"/>
          <w:szCs w:val="24"/>
          <w:lang w:val="en-US" w:eastAsia="zh-CN" w:bidi="ar-SA"/>
        </w:rPr>
        <w:t>双向对讲要求：</w:t>
      </w:r>
      <w:r>
        <w:rPr>
          <w:rFonts w:hint="eastAsia" w:cs="宋体"/>
          <w:kern w:val="2"/>
          <w:sz w:val="21"/>
          <w:szCs w:val="24"/>
          <w:lang w:val="en-US" w:eastAsia="zh-CN" w:bidi="ar-SA"/>
        </w:rPr>
        <w:t>需在货车出入口控制与新建中控室安装双向对讲系统，出入口侧与中控室侧均具备主动呼叫与接听功能。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kern w:val="2"/>
          <w:sz w:val="21"/>
          <w:szCs w:val="24"/>
          <w:lang w:val="en-US" w:eastAsia="zh-CN" w:bidi="ar-SA"/>
        </w:rPr>
      </w:pPr>
      <w:r>
        <w:rPr>
          <w:rFonts w:hint="eastAsia" w:cs="宋体"/>
          <w:b/>
          <w:bCs/>
          <w:kern w:val="2"/>
          <w:sz w:val="21"/>
          <w:szCs w:val="24"/>
          <w:lang w:val="en-US" w:eastAsia="zh-CN" w:bidi="ar-SA"/>
        </w:rPr>
        <w:t>远程识别要求：</w:t>
      </w:r>
      <w:r>
        <w:rPr>
          <w:rFonts w:hint="eastAsia" w:cs="宋体"/>
          <w:kern w:val="2"/>
          <w:sz w:val="21"/>
          <w:szCs w:val="24"/>
          <w:lang w:val="en-US" w:eastAsia="zh-CN" w:bidi="ar-SA"/>
        </w:rPr>
        <w:t>中控室调度人员需具备远程识别随车货单信息，货单信息一般由机打或手写单据，摄像机需要具备高像素与自动调焦功能，以便清晰识别内容并自动或手动拍照存档。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kern w:val="2"/>
          <w:sz w:val="21"/>
          <w:szCs w:val="24"/>
          <w:lang w:val="en-US" w:eastAsia="zh-CN" w:bidi="ar-SA"/>
        </w:rPr>
      </w:pPr>
      <w:r>
        <w:rPr>
          <w:rFonts w:hint="eastAsia" w:cs="宋体"/>
          <w:b/>
          <w:bCs/>
          <w:kern w:val="2"/>
          <w:sz w:val="21"/>
          <w:szCs w:val="24"/>
          <w:lang w:val="en-US" w:eastAsia="zh-CN" w:bidi="ar-SA"/>
        </w:rPr>
        <w:t>上料区广播要求：</w:t>
      </w:r>
      <w:r>
        <w:rPr>
          <w:rFonts w:hint="eastAsia" w:cs="宋体"/>
          <w:kern w:val="2"/>
          <w:sz w:val="21"/>
          <w:szCs w:val="24"/>
          <w:lang w:val="en-US" w:eastAsia="zh-CN" w:bidi="ar-SA"/>
        </w:rPr>
        <w:t>上料区需安装5个IP广播室外音柱，中控室可对上料区域点对点喊话或群体广播。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kern w:val="2"/>
          <w:sz w:val="21"/>
          <w:szCs w:val="24"/>
          <w:lang w:val="en-US" w:eastAsia="zh-CN" w:bidi="ar-SA"/>
        </w:rPr>
      </w:pPr>
      <w:r>
        <w:rPr>
          <w:rFonts w:hint="eastAsia" w:cs="宋体"/>
          <w:b/>
          <w:bCs/>
          <w:kern w:val="2"/>
          <w:sz w:val="21"/>
          <w:szCs w:val="24"/>
          <w:lang w:val="en-US" w:eastAsia="zh-CN" w:bidi="ar-SA"/>
        </w:rPr>
        <w:t>监控覆盖要求：</w:t>
      </w:r>
      <w:r>
        <w:rPr>
          <w:rFonts w:hint="eastAsia" w:cs="宋体"/>
          <w:kern w:val="2"/>
          <w:sz w:val="21"/>
          <w:szCs w:val="24"/>
          <w:lang w:val="en-US" w:eastAsia="zh-CN" w:bidi="ar-SA"/>
        </w:rPr>
        <w:t>对上料区的重点区域、货车出入口区域安装摄像机，实现监控对关键设施的覆盖，同时新增128路硬盘录像机，录像至少保存1个月。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default" w:cs="宋体"/>
          <w:kern w:val="2"/>
          <w:sz w:val="21"/>
          <w:szCs w:val="24"/>
          <w:lang w:val="en-US" w:eastAsia="zh-CN" w:bidi="ar-SA"/>
        </w:rPr>
      </w:pPr>
      <w:r>
        <w:rPr>
          <w:rFonts w:hint="eastAsia" w:cs="宋体"/>
          <w:b/>
          <w:bCs/>
          <w:kern w:val="2"/>
          <w:sz w:val="21"/>
          <w:szCs w:val="24"/>
          <w:lang w:val="en-US" w:eastAsia="zh-CN" w:bidi="ar-SA"/>
        </w:rPr>
        <w:t>车辆调度要求：</w:t>
      </w:r>
      <w:r>
        <w:rPr>
          <w:rFonts w:hint="eastAsia" w:cs="宋体"/>
          <w:kern w:val="2"/>
          <w:sz w:val="21"/>
          <w:szCs w:val="24"/>
          <w:lang w:val="en-US" w:eastAsia="zh-CN" w:bidi="ar-SA"/>
        </w:rPr>
        <w:t>在仓库区域安装一块1平方P4单色屏，实现车辆调度显示，需要将车牌号与仓库号显示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2、汽化、除尘等区域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kern w:val="2"/>
          <w:sz w:val="21"/>
          <w:szCs w:val="24"/>
          <w:lang w:val="en-US" w:eastAsia="zh-CN" w:bidi="ar-SA"/>
        </w:rPr>
      </w:pPr>
      <w:r>
        <w:rPr>
          <w:rFonts w:hint="eastAsia" w:cs="宋体"/>
          <w:b/>
          <w:bCs/>
          <w:kern w:val="2"/>
          <w:sz w:val="21"/>
          <w:szCs w:val="24"/>
          <w:lang w:val="en-US" w:eastAsia="zh-CN" w:bidi="ar-SA"/>
        </w:rPr>
        <w:t>对接需要求：</w:t>
      </w:r>
      <w:r>
        <w:rPr>
          <w:rFonts w:hint="eastAsia" w:cs="宋体"/>
          <w:kern w:val="2"/>
          <w:sz w:val="21"/>
          <w:szCs w:val="24"/>
          <w:lang w:val="en-US" w:eastAsia="zh-CN" w:bidi="ar-SA"/>
        </w:rPr>
        <w:t>负责对接该区域与中控室的工业网络与监控网络调试工作。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3、中控室需求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kern w:val="2"/>
          <w:sz w:val="21"/>
          <w:szCs w:val="24"/>
          <w:lang w:val="en-US" w:eastAsia="zh-CN" w:bidi="ar-SA"/>
        </w:rPr>
      </w:pPr>
      <w:r>
        <w:rPr>
          <w:rFonts w:hint="eastAsia" w:cs="宋体"/>
          <w:b/>
          <w:bCs/>
          <w:kern w:val="2"/>
          <w:sz w:val="21"/>
          <w:szCs w:val="24"/>
          <w:lang w:val="en-US" w:eastAsia="zh-CN" w:bidi="ar-SA"/>
        </w:rPr>
        <w:t>中控大屏要求：</w:t>
      </w:r>
      <w:r>
        <w:rPr>
          <w:rFonts w:hint="eastAsia" w:cs="宋体"/>
          <w:kern w:val="2"/>
          <w:sz w:val="21"/>
          <w:szCs w:val="24"/>
          <w:lang w:val="en-US" w:eastAsia="zh-CN" w:bidi="ar-SA"/>
        </w:rPr>
        <w:t>中控室长*宽*高（8.6*5.9*3.6米），利用现有55寸拼接屏，实现画面2*6拼接，拼接要求弧形拼接，定制落地支架，配置4输入+16输出高清解码器与监控平台。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cs="宋体"/>
          <w:kern w:val="2"/>
          <w:sz w:val="21"/>
          <w:szCs w:val="24"/>
          <w:lang w:val="en-US" w:eastAsia="zh-CN" w:bidi="ar-SA"/>
        </w:rPr>
      </w:pPr>
      <w:r>
        <w:rPr>
          <w:rFonts w:hint="eastAsia" w:cs="宋体"/>
          <w:b/>
          <w:bCs/>
          <w:kern w:val="2"/>
          <w:sz w:val="21"/>
          <w:szCs w:val="24"/>
          <w:lang w:val="en-US" w:eastAsia="zh-CN" w:bidi="ar-SA"/>
        </w:rPr>
        <w:t>操作台需求：</w:t>
      </w:r>
      <w:r>
        <w:rPr>
          <w:rFonts w:hint="eastAsia" w:cs="宋体"/>
          <w:kern w:val="2"/>
          <w:sz w:val="21"/>
          <w:szCs w:val="24"/>
          <w:lang w:val="en-US" w:eastAsia="zh-CN" w:bidi="ar-SA"/>
        </w:rPr>
        <w:t>要求12个显示器与12个工位，操作台高度要求75cm左右，其余技术规格满足下表详细要求。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default" w:cs="宋体"/>
          <w:kern w:val="2"/>
          <w:sz w:val="21"/>
          <w:szCs w:val="24"/>
          <w:lang w:val="en-US" w:eastAsia="zh-CN" w:bidi="ar-SA"/>
        </w:rPr>
      </w:pPr>
      <w:r>
        <w:rPr>
          <w:rFonts w:hint="eastAsia" w:cs="宋体"/>
          <w:b/>
          <w:bCs/>
          <w:kern w:val="2"/>
          <w:sz w:val="21"/>
          <w:szCs w:val="24"/>
          <w:lang w:val="en-US" w:eastAsia="zh-CN" w:bidi="ar-SA"/>
        </w:rPr>
        <w:t>工控机需求：</w:t>
      </w:r>
      <w:r>
        <w:rPr>
          <w:rFonts w:hint="eastAsia" w:cs="宋体"/>
          <w:kern w:val="2"/>
          <w:sz w:val="21"/>
          <w:szCs w:val="24"/>
          <w:lang w:val="en-US" w:eastAsia="zh-CN" w:bidi="ar-SA"/>
        </w:rPr>
        <w:t>I5-6500/8G/1TSSD/无线键鼠/23.8寸显示器11台。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lang w:val="en-US" w:eastAsia="zh-CN"/>
        </w:rPr>
        <w:drawing>
          <wp:inline distT="0" distB="0" distL="114300" distR="114300">
            <wp:extent cx="5026660" cy="2323465"/>
            <wp:effectExtent l="0" t="0" r="2540" b="635"/>
            <wp:docPr id="1" name="图片 1" descr="支架-55寸2x8+安徽新兴铸管轧钢一体化支架(弧形)-26平-2718-MHG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支架-55寸2x8+安徽新兴铸管轧钢一体化支架(弧形)-26平-2718-MHG Model (1)"/>
                    <pic:cNvPicPr>
                      <a:picLocks noChangeAspect="1"/>
                    </pic:cNvPicPr>
                  </pic:nvPicPr>
                  <pic:blipFill>
                    <a:blip r:embed="rId5"/>
                    <a:srcRect t="22790" r="4661" b="8738"/>
                    <a:stretch>
                      <a:fillRect/>
                    </a:stretch>
                  </pic:blipFill>
                  <pic:spPr>
                    <a:xfrm>
                      <a:off x="0" y="0"/>
                      <a:ext cx="5026660" cy="23234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val="0"/>
          <w:bCs w:val="0"/>
          <w:lang w:val="en-US" w:eastAsia="zh-CN"/>
        </w:rPr>
      </w:pPr>
      <w:r>
        <w:rPr>
          <w:rFonts w:hint="eastAsia"/>
          <w:b w:val="0"/>
          <w:bCs w:val="0"/>
          <w:lang w:val="en-US" w:eastAsia="zh-CN"/>
        </w:rPr>
        <w:t>中控室正视参考图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val="0"/>
          <w:bCs w:val="0"/>
          <w:lang w:val="en-US" w:eastAsia="zh-CN"/>
        </w:rPr>
      </w:pPr>
      <w:r>
        <w:rPr>
          <w:rFonts w:hint="eastAsia"/>
          <w:b w:val="0"/>
          <w:bCs w:val="0"/>
          <w:lang w:val="en-US" w:eastAsia="zh-CN"/>
        </w:rPr>
        <w:drawing>
          <wp:inline distT="0" distB="0" distL="114300" distR="114300">
            <wp:extent cx="5065395" cy="2728595"/>
            <wp:effectExtent l="0" t="0" r="1905" b="1460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rcRect t="9572" r="8130" b="11923"/>
                    <a:stretch>
                      <a:fillRect/>
                    </a:stretch>
                  </pic:blipFill>
                  <pic:spPr>
                    <a:xfrm>
                      <a:off x="0" y="0"/>
                      <a:ext cx="5065395" cy="27285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val="0"/>
          <w:bCs w:val="0"/>
          <w:lang w:val="en-US" w:eastAsia="zh-CN"/>
        </w:rPr>
      </w:pPr>
      <w:r>
        <w:rPr>
          <w:rFonts w:hint="eastAsia"/>
          <w:b w:val="0"/>
          <w:bCs w:val="0"/>
          <w:lang w:val="en-US" w:eastAsia="zh-CN"/>
        </w:rPr>
        <w:t>中控室俯视图参考图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eastAsia="宋体"/>
          <w:b/>
          <w:bCs/>
          <w:lang w:val="en-US" w:eastAsia="zh-CN"/>
        </w:rPr>
      </w:pPr>
      <w:r>
        <w:rPr>
          <w:rFonts w:hint="eastAsia"/>
          <w:b/>
          <w:bCs/>
          <w:lang w:val="en-US" w:eastAsia="zh-CN"/>
        </w:rPr>
        <w:t>三、主要设备配置</w:t>
      </w:r>
    </w:p>
    <w:tbl>
      <w:tblPr>
        <w:tblStyle w:val="4"/>
        <w:tblW w:w="8264" w:type="dxa"/>
        <w:tblInd w:w="93" w:type="dxa"/>
        <w:shd w:val="clear" w:color="auto" w:fill="auto"/>
        <w:tblLayout w:type="fixed"/>
        <w:tblCellMar>
          <w:top w:w="0" w:type="dxa"/>
          <w:left w:w="108" w:type="dxa"/>
          <w:bottom w:w="0" w:type="dxa"/>
          <w:right w:w="108" w:type="dxa"/>
        </w:tblCellMar>
      </w:tblPr>
      <w:tblGrid>
        <w:gridCol w:w="452"/>
        <w:gridCol w:w="1339"/>
        <w:gridCol w:w="4984"/>
        <w:gridCol w:w="716"/>
        <w:gridCol w:w="773"/>
      </w:tblGrid>
      <w:tr>
        <w:tblPrEx>
          <w:shd w:val="clear" w:color="auto" w:fill="auto"/>
          <w:tblCellMar>
            <w:top w:w="0" w:type="dxa"/>
            <w:left w:w="108" w:type="dxa"/>
            <w:bottom w:w="0" w:type="dxa"/>
            <w:right w:w="108" w:type="dxa"/>
          </w:tblCellMar>
        </w:tblPrEx>
        <w:trPr>
          <w:trHeight w:val="360" w:hRule="atLeast"/>
          <w:tblHeader/>
        </w:trPr>
        <w:tc>
          <w:tcPr>
            <w:tcW w:w="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产品类别</w:t>
            </w:r>
          </w:p>
        </w:tc>
        <w:tc>
          <w:tcPr>
            <w:tcW w:w="49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技术规格</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CellMar>
            <w:top w:w="0" w:type="dxa"/>
            <w:left w:w="108" w:type="dxa"/>
            <w:bottom w:w="0" w:type="dxa"/>
            <w:right w:w="108" w:type="dxa"/>
          </w:tblCellMar>
        </w:tblPrEx>
        <w:trPr>
          <w:trHeight w:val="360"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一、集控中心</w:t>
            </w:r>
          </w:p>
        </w:tc>
        <w:tc>
          <w:tcPr>
            <w:tcW w:w="498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室内条屏</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像素间距4mm，单红色，含配套接收卡，控制软件，屏体包边，固定支架。</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r>
      <w:tr>
        <w:tblPrEx>
          <w:tblCellMar>
            <w:top w:w="0" w:type="dxa"/>
            <w:left w:w="108" w:type="dxa"/>
            <w:bottom w:w="0" w:type="dxa"/>
            <w:right w:w="108" w:type="dxa"/>
          </w:tblCellMar>
        </w:tblPrEx>
        <w:trPr>
          <w:trHeight w:val="3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利旧现有10块拼接屏，组成16块2*8拼接。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LCD显示单元为：55“超窄边液晶屏；物理分辨率达到1920×1080，响应时间≤8ms。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LCD显示单元物理拼缝≤3.5mm，亮度达到600cd/㎡，对比度达到1200:1，图像显示清晰度≥950TVL，亮度鉴别等级为11级。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为保护环境要求，液晶拼接屏需满足中国电器电子产品有害物质限制使用的要求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液晶显示单元具有色坐标一致性，根据CIE1931标准色度系统，液晶显示单元色坐标误差在±0.001以内。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液晶显示单元的风扇具备良好的散热效果，风扇散热性能≥60%，液晶显示单元客户端具备能力集收集、设备工作状态展示功能。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液晶显示单元连续运行24小时，液晶表面中心温度≤50℃，边缘测试点与中心温差≤10℃。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LCD显示单元需支持7色独立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液晶单元具备倍增畅显功能,可将输入的25/30 帧图像转成50/60 帧输出,使图像更加流畅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LCD显示单元支持边缘屏蔽功能，智能去除黑边功能，可消除显示终端上存在的黑边，及因拼缝带来的图像变形；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LCD显示单元通过调整γ曲线，使得实际γ曲线更为平滑且更为准确，从而提升显示设备的显示效果。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LCD显示单元采用2mm金属结构件，3m辐射范围值在47db以内，保证操作人员处于安全值，能做外部设备3V/m的电磁干扰下稳定运行。</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拼接屏落地支架</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定制落地屏幕支架，配套55寸16:9拼接屏使用，全长9.6米，宽0.4米，高度2.6米，其中2*6块屏幕支架平面直线设计，侧边分别安装2块屏，支架采用折角设计，拼接一体。</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安防监控平台</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1.支持根据用户使用习惯自定义配置快捷功能入口，支持首页投放大屏展示，支持最近7天每日的用户活跃数统计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2.支持以中心管理服务为核心的网络拓扑结构，支持对系统中的分组、服务器、组件等统计概览、查看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多色彩（红、橙、黄）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软件包（组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支持在线、离线授权反激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6.支持访客足迹查看，包含门禁人员出入事件、可视对讲出入事件、人脸监控记录、梯控事件、停车场出入事件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7.支持来访人通过移动端自助预约，预约成功后收到短信通知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8.支持被访人通过移动端向访客发起访客邀约，审批来访者申请的预约信息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9.支持人脸消费、刷卡消费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10.支持纯车牌，车主卡辅，纯卡片，卡主车辅四种识别模式；支持新能源车牌识别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11.支持按次预约和按时段预约功能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12.支持在访客平台中登记过的访客车辆进入停车场时自动放行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通过人工缴费客户端、自助寻车缴费客户端、手持缴费终端提前缴费；支持模糊查询、按时间查询和无牌车查询；手持缴费终端支持直接扫描车牌；支持通过现金、微信、支付宝三种方式缴费；支持缴费小票打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14.配置道闸2车道管理授权，100路监控管理授权。</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框架式结构，采用无源背板，机箱不小于13个板卡插槽，系统稳定可靠。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支持在输出通道叠加图片LOGO，图片位置可调。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主控板具有4个串口，每个串口挂载8个RS485控制设备，可将IP数据发送给串口。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单板支持128个漫游窗口叠加，支持窗口置顶或置底设置。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支持1、2、4、6、8、9、12、16、32、36、48、64画面分割显示。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支持将25帧或30帧的视频转换为50或60帧。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支持英飞拓、PELCO等键盘接入。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对录像文件解码延时≤110ms。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支持4K输出板最大分辨率为4096×2160，其它板卡支持至少8种分辨率输出1920×1080、1680×1050、1600×1200、1400×1050、1280×1024、1280×960、1280×720、1024×768。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支持手动视频切换功能，支持将选定的视频输入切换到选定的视频输出，支持视音频同步切换、异步切换，画面切换时不出现黑屏。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具有同一输入通道的视频图像在不同输出端口显示的失步误差小于1ms。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可通过无线终端将视音频、图片、PPT等传送到屏幕上显示。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采用嵌入式非X86架构，主控板不具备X86架构特征元件（CPU、内存条、硬盘、VGA接口）；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信号源采集后经过高速背板总线到输出显示所用平均时间应≤35ms；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图像切换时间＜20ms。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支持解码中断时保留最后一帧的功能，解码板不同输出口以及跨解码板的输出口之间输出色彩无色差。</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具有2个HDMI接口、1个VGA接口、4个RJ45网络接口、4个光传输接口、1个eSata接口、1个RS232</w:t>
            </w:r>
            <w:bookmarkStart w:id="0" w:name="_GoBack"/>
            <w:bookmarkEnd w:id="0"/>
            <w:r>
              <w:rPr>
                <w:rFonts w:hint="eastAsia" w:ascii="宋体" w:hAnsi="宋体" w:eastAsia="宋体" w:cs="宋体"/>
                <w:i w:val="0"/>
                <w:iCs w:val="0"/>
                <w:color w:val="000000"/>
                <w:kern w:val="0"/>
                <w:sz w:val="20"/>
                <w:szCs w:val="20"/>
                <w:u w:val="none"/>
                <w:lang w:val="en-US" w:eastAsia="zh-CN" w:bidi="ar"/>
              </w:rPr>
              <w:t>接口、1路音频输入接口、1路音频输出接口、2个miniSAS扩展接口、48路报警输入接口、24路报警输出接口、1个键盘485接口、9个RS485接口、2个USB3.0接口、1个USB2.0接口、24个硬盘接口，可接入24个SATA接口硬盘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企业技术要求：可接入128路分辨率为1920x1080的视频图像，总码率最大为512Mbps；可存储128路分辨率为1920x1080的视频图像，总码率最大为512Mbps；可转发128路分辨率为1920x1080的视频图像，总码率最大为512Mbps；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可同时显示输出32路H.265编码、30fps、1920×1080格式的视频图像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可接入1T、2T、3T、4T、6T、8T、10T、12TB、14TB、16TB容量的SATA接口硬盘；可接入AI硬盘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采用模块化结构，支持双电源、双风扇，可插拔式安装主板、风扇、电源模块、面板，并且风扇、电源模块、面板可热插拔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可同时通过主控板卡2个HDMI接口分别将接入的分辨率为4096x2160的视频图像显示输出在2个分辨率为4096x2160的液晶显示器上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支持1路8160×3616格式、H.265编码、25fps的视频实时预览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图片存储服务，可将NVR作为图片存储服务器，接收并存储前端推送的图片，提供图片URL地址供下载图片，存储安全保障功能，当业务变化导致存储压力过高或硬盘出现性能不足时，系统会开启增强模式优先录像业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IPv4和IPv6网络协议；支持本地和远程进行IPv6配置，IPv6支持多种模式：路由公告、自动获取、手动配置；支持以IPv6方式登录、取流、配置、检索等功能；支持以IPv6方式接入海康IPC进行预览、参数配置、报警接收和展现、语音对讲、IPC列表导入、IP地址冲突检测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可同时选择多个带有客流统计功能的IPC，可自动将多个IPC通道的客流统计数据求和，并按日、周、月、年统计生成报表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支持XVR/DVR/NVR等IP设备级联管理和运维管理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支持设置3~16台设备组成集群，集群支持设置1024台IPC接入；添加、删除IPC，添加、删除工作机，工作机宕机时集群自动负载均衡，业务迁移</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网络监控硬盘</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4t，监控专用</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操作电脑</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B560/I5-11400/8G/512G SSD/243V7QDSB 23.8寸/无线键鼠</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固态硬盘</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SSD，500G</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视频监控工程宝</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4K网络监控测试仪工程宝/7英寸全视触摸屏/多网测试/POE供电</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POE中继器</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百兆PoE信号中继器1分2口标准PoE延长器分线器数据+供电力远距离网线传输网络监控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HDMI视频分配器</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kvm切换器4口hdmi切屏器四进一出4K高清 MT-HK401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i5-6500-8G-1T-300W</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243V7QDSB 23.8寸/无线键鼠</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弧形操作台</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 D7800mm *H750mm *W＞900+160mm，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台面板：台面采用25mm进口实木板材具有耐潮、耐热、抗刮、耐烟灼、不滋生霉菌、易清理、使用寿命长等卓越特性。台面前端采用聚氨酯加模压成型的手枕边，保证手臂工作时的舒适性，具有良好的抗刮，耐磨及耐腐蚀效果，可满足工作人员长期24小时工作带来的相关磨损。额定厚度，不小于1.0mm；厚度误差，± 0.12mm以内（含本数）；磨损阻抗。且台面拼合缝隙采用无缝拼接。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制台框架：主框架采用1.5mm厚度的热浸镀锌钢板，材料强度标准不低于10号冷轧钢。经裁剪、冲压、折弯成型，受外力冲击不易变形，具有优越的承重性。前后门板采用1.2mm厚度的热浸镀锌钢板，金属表面采用国际标准喷涂涂料，正常光照下可见明显钻石光泽，提升控制台表面质感，作相应的防腐、防锈工艺处理，而材质均匀，性能稳定，做货公差易保证。喷涂表面达到如下标准：厚度达70-80 um；表面喷涂均匀，产品不涂饰部位和产品内部要清洁。为保证整体效果，主框架不允许焊接。控制台台体构架依靠带弹性胶垫固定底座与地面固定，同时具有调节功能。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4.后屏风：后屏风采用优质铝合金型材，高度≥180mm*60mm铝型材灵活搭配调整，铝型材厚度不小于2.0mm，铝合金型材槽宽不小于8mm。后屏风用于承托铝合金显示器支架，铝合金表面颜色为黑色。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5.侧板：高密度板材质，镂空外形，侧板造型同图，侧面网孔亦可辅助散热，表面喷涂PU烤漆，喷涂表面达到如下标准：厚度达70-80 um；表面喷涂均匀，产品不涂饰部位和产品内部要清洁。侧板表面喷涂在正常光照下可见明显金属闪光颗粒，提升控制台表面质感。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台体下端底柜：主机设备全部密封底柜内部，降低工作噪音，内设主机托板，方便日后的设备维护，主机托板采用滑槽固定满足下部进线的需要，方便拆卸。底柜前后门采用转门式设计，采用优质液压缓冲铰链与主框架连接，方便日后的管理，同时台体下部有足够的腿部活动空间，底柜前后门部有散热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7.线缆支架前面LCD显示器之电源线按市场LCD配线标准规格即可方便地连入电源插座，讯号数据线也可不用加长即可插入相应主机，使用方便合理。内部横纵向强弱电分开走线，方便捆扎。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8.控制台散热：将通风气流布局成从控制台底部进入，经内部自然循环后，根据气流的交换原理在位于底柜主机托板上，设计有散气孔。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10.静音键盘盆：抽拉式滑轮键盘三节高强度导轨，在保证滑动顺畅的前提下更加坚固耐用。托盆手枕采用柔性聚氨酯模压成型，表面柔软，使操作更加舒适方便。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.电源插座：机柜专用电源。每个主机托盘需配置一条插排，每条插排至少提供3个插孔，带有状态指示灯和独立控制开关，插排的插孔为国标插孔。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12.材质: 钢质结构框架。台身采用优质冷轧镀锌钢板，厚度为1.2-1.5mm，采用磷化处理，高温烘干以确保充分耐腐蚀保护，且材质均匀，性能稳定。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模压聚氨酝包边，铝型材多功能屏风。具有耐潮、耐热、抗刮、耐烟灼、不滋生霉菌、易清理、使用寿命长等卓越特性。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13.需配置</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把办公椅</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CellMar>
            <w:top w:w="0" w:type="dxa"/>
            <w:left w:w="108" w:type="dxa"/>
            <w:bottom w:w="0" w:type="dxa"/>
            <w:right w:w="108" w:type="dxa"/>
          </w:tblCellMar>
        </w:tblPrEx>
        <w:trPr>
          <w:trHeight w:val="340"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二、上料区设备</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室外LED屏</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像素间距4mm，单红色，含配套接收卡，控制软件，屏体包边，固定支架。</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一体化无人终端</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一体化钢制框架结构（宽*高*深：约0.8*2*1米），i5/8G/512G SSD、触摸屏21寸、电源、散热、喇叭等主体设备，嵌入扫码枪、读卡器、麦克风、拍照针孔摄像机等设备。为保证设备兼容性，须与车辆道闸同一品牌。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1、车号扫码识别：通过无人值守站嵌入的扫码枪，识别手机物流程序生成的条码或二维码，自动解析车牌号，在屏幕软件菜单中展示，并得出相关货物信息。同时中控室服务端软件显示来车信息。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2、手写单据拍照：通过无人值守站摄像机，对手写单据进行自动拍照，并上传至中控室服务端软件中显示。供调度员识别单据内容信息。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3、语音协同对讲：通过无人值守站软件或硬件按钮，对中控室调度软件进行呼叫，发起语音通话。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4、车辆排队叫号：服务端软件可手动或自动下发车辆调度信息，结合现场LED屏与广播系统进行车辆信息与仓库号的匹配。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5、广播功能：中控室话筒可通过服务端软件、话筒对仓库分布的5个高音喇叭进行点对点广播，也可用于全体广播；方便作业提醒或紧急疏散。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6、车牌号显示：服务端软件可通过车牌识别摄像机的抓牌结果，生成实时车牌号信息。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7、统计功能：服务端软件可根据时间对进出车辆的车牌号、货物类型、重量、核减重量等数据进行统计，形成分析报表，便于查询与统计该工艺的生产作业情况。</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200万 星光级 1/2.7" CMOS 电动变焦筒型网络摄像机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最低照度: 彩色：0.01 Lux @（F1.2，AGC ON），黑白：0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焦距&amp;视场角: 2.7~12 mm @F1.6，水平视场角：106.8°~32.2°，垂直视场角：55.8°~18.1°，对角视场角：128.2°~37.1°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补光灯类型: 红外灯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补光距离: 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最大图像尺寸: 1920 × 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视频压缩标准: 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网络: 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音频: 1路输入（Line in），1路输出（Line out）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报警: 2路输入，2路输出（报警输出最大支持DC12 V，30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防护: 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电源:POE供电</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车辆道闸</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采用直流电机控制，可以实现起、落杆时间调整，起、落杆速度默认三档（可调）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支持起、落杆加减速调整，实现快速起竿、慢速落杆，平稳运行；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按键或遥控控制功能:可通过控制盒面板按键进行手动控制或通过遥控器控制档杆的开、停、关。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可连接地感、红外、压力电波等设备进行车辆防砸保护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支持放行时控制外接绿灯亮，禁止通行时控制外接红灯亮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设备具有放行计数功能，当收到的开闸指令计数，与过车计数不一致时，控制道闸处于放行状态，当计数相等且防砸线圈无车时，控制道闸落杆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支持道闸同时满足开到位状态、无其他控制开信号、计时到设定时间、防砸线圈上无车条件时，道闸会自动落杆。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支持通过遥控器可以使道闸处于常开状态，过车或者其他控制关信号，道闸不会落杆。只有通过遥控器解锁后，道闸可以通过其他控制方式落杆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支持断电后，可通过工具手动操作使道闸处于开闸状态；通过增加配件，支持断电自动抬杆</w:t>
            </w:r>
          </w:p>
          <w:p>
            <w:pPr>
              <w:keepNext w:val="0"/>
              <w:keepLines w:val="0"/>
              <w:widowControl/>
              <w:numPr>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 支持道闸落杆过程中，收到开闸信号，会立即抬杆并运行到开到位状态;道闸开闸过程中，按关按键和停按键，不响应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通过毫米波雷达可进行检测车辆和行人；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支持遇阻反弹功能，当闸杠下落时，遇到物体阻挡，将立即开闸（即遇到阻力自动返回）。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支持过流保护，当电机电流达到设定阈值时，电机停止运行（可保护电机）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空旷场地遥控距离≥30米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整机运行平稳，无异响，噪音≤75dB(A)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支持左右换向功能，杆子更换安装位置即可实现换向（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支持遥控器、控制主机、车辆检测设备等对道闸的开关控制</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抓拍显示一体机</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1.200万像素高清摄像机，最大分辨率可达1920*1200，帧率高达25fps；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2.1/2.7"逐行扫描CMOS，成像效果好， 0.002Lux彩色低照度监控效果，夜间看的更清；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3.集摄像机、LED显示屏、补光灯、镜头、喇叭功放于一体，有效节省施工布线成本；显示屏：支持两列4字显示，双色LED屏，显示内容可灵活配置.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4.内置9颗高亮LED灯，智能补光技术，支持时控和光控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5.支持3.1~9mm电动变焦镜头，远程调试，更方便快捷；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6.支持识别的号牌类型包括大（小）型汽车、新能源汽车、等国标车牌；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7.支持黑、白名单的导入及对比，可直接联动道闸开闸，支持脱机运行；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8.支持视频触发、线圈触发、雷达触发等多种触发模式；捕获率高，纯视频识别，纯视频抓拍时可捕获无车牌，捕获率99.9%以上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9.支持视频防跟车、雷达/线圈防跟车两种模式，对于连续过车的场景，可实现跟车不落杆，有效解决拥堵问题；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10.机箱表面采用抗紫外线静电喷塑工艺，不起皮，不褪色，防尘防水等级符合室外设备IP54级别要求；</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车检器</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独立式,支持接入的最大线圈数2,继电器输出</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w:t>
            </w:r>
            <w:r>
              <w:rPr>
                <w:rFonts w:hint="eastAsia" w:ascii="宋体" w:hAnsi="宋体" w:cs="宋体"/>
                <w:i w:val="0"/>
                <w:iCs w:val="0"/>
                <w:color w:val="000000"/>
                <w:kern w:val="0"/>
                <w:sz w:val="20"/>
                <w:szCs w:val="20"/>
                <w:u w:val="none"/>
                <w:lang w:val="en-US" w:eastAsia="zh-CN" w:bidi="ar"/>
              </w:rPr>
              <w:t>检</w:t>
            </w:r>
            <w:r>
              <w:rPr>
                <w:rFonts w:hint="eastAsia" w:ascii="宋体" w:hAnsi="宋体" w:eastAsia="宋体" w:cs="宋体"/>
                <w:i w:val="0"/>
                <w:iCs w:val="0"/>
                <w:color w:val="000000"/>
                <w:kern w:val="0"/>
                <w:sz w:val="20"/>
                <w:szCs w:val="20"/>
                <w:u w:val="none"/>
                <w:lang w:val="en-US" w:eastAsia="zh-CN" w:bidi="ar"/>
              </w:rPr>
              <w:t>线圈</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0.75mm²，绞合导体，镀锡铜，绝缘蓝色PVC外被，1捆线圈50米。</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IP网络广播服务软件</w:t>
            </w:r>
          </w:p>
        </w:tc>
        <w:tc>
          <w:tcPr>
            <w:tcW w:w="49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5.支持多种呼叫策略，包括无响应转移、占线转移、关机转移，支持时间策略和转移策略自定义设置。支持设置对讲终端呼叫策略，可自定义通话时间0-180S或不受限，可选择是否自动接听。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6.支持终端短路输入联动触发，可任意设置联动触发方案和触发终端数量，触发方案包括短路输出、音乐播放、巡更警报等。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8.支持定时巡更功能，支持自定义巡更任务的执行时间及重复周期，可自定义指示灯闪烁间隔时间0-30s。（提供配置界面截图）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9.支持今日任务列表查看，轻松管理今日执行的所有定时任务信息和执行状态。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10.通过网页登陆广播系统后台可对终端进行5段均衡器调节：可对终端进行80Hz、300Hz、1KHz、3KHz、10KHz频点的±16dB调节，使得终端设备在现场使用环境不同而调节修饰音效。（提供功能界面截图）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11.支持对8路功率分区终端进行功率控制分区设置，通过web页面后台或分控客户端均可轻松设置分区。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12.支持对终端设置时间显示配置，可设置0-6级别亮度值，可设置离线后不显示时间等模式。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13.支持对终端设置不同的灯光模式，可分别自定义设置红灯亮、红灯灭、绿灯/蓝灯亮、绿灯/蓝灯灭时间0.1S-10S。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14.支持配置终端冻结时间，在终端被冻结期间禁止终端执行任务，适用于考试或休息等场景。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15.支持广播、对讲、实时采集、终端监听进行录音；支持文本广播功能，可实现将文本转成语音，支持后台调整语速。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16.支持对终端进行远程固件升级，无需到终端本地升级，减轻维护人员工作强度。支持后台换肤功能，可根据喜好自由切换皮肤主题。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17.支持终端明细导出功能，支持通过表格方式导出当前系统终端的配置详情，为系统管理带来方便。支持批量修改定时任务的时间、执行终端。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18.日志记录系统运行状态，实时记录系统运行及终端工作状态，每次呼叫、通话和广播操作均有记录</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CellMar>
            <w:top w:w="0" w:type="dxa"/>
            <w:left w:w="108" w:type="dxa"/>
            <w:bottom w:w="0" w:type="dxa"/>
            <w:right w:w="108" w:type="dxa"/>
          </w:tblCellMar>
        </w:tblPrEx>
        <w:trPr>
          <w:trHeight w:val="3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网络音柱</w:t>
            </w:r>
          </w:p>
        </w:tc>
        <w:tc>
          <w:tcPr>
            <w:tcW w:w="49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1.符合户外恶劣环境的使用及安全要求，且符合IP54防护等级认证要求。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2.内置一路网络数字音频解码模块，支持IP/TCP、UDP、IGMP(组播)等通讯协议，实现网络化传输16位CD音质的音频信号。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3.内置数字功率放大器模块，音质细腻，功率强劲。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4.支持服务器统一授权操作管理功能，统一配置管理用户及密码功能；支持100级自定义音频优先级默音控制功能。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5.支持局域网和广域网应用，兼容路由器、交换机、网桥网关、Modem、Internet、2G、3G、4G、组播、单播等任意网络架构。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6.数字化产品，扩容方便，不受地理位置限制，无需增加机房管理设备，采用共网免线路施工的设计理念，安装简便。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7.支持现场电压过高（254V±5%），自动断电保护；当电压恢复正常，可以自动上电重新上线，增加设备使用寿命。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8.支持现场设备不接地线情况，当终端空闲时，会自动播放提示音；当正常接地后，设备才不再继续提示；可以预防户外雷电天气，不接地状态下，有概率损坏设备。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9.额定功率不低于60W,最大功率240W</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CellMar>
            <w:top w:w="0" w:type="dxa"/>
            <w:left w:w="108" w:type="dxa"/>
            <w:bottom w:w="0" w:type="dxa"/>
            <w:right w:w="108" w:type="dxa"/>
          </w:tblCellMar>
        </w:tblPrEx>
        <w:trPr>
          <w:trHeight w:val="3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49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1.箱体需符合声音共振原理设计理念；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2.设备采用嵌入式计算机技术和DSP音频处理技术设计。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4.内置2 x 20W（MAX）的双通道数字功率放大器，一路接主音箱，一路外接到副音箱；音质非常细腻，功率强劲；具有网络音量设置。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5.具备有1路线路（AUX）输入接口，具有独立的音量电位器控制，支持断网本地寻呼功能；同时支持缄默强度预置减少功能，支持背景伴奏预置功能。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6.可扩展2.4G无线音频模块，实现2.4G无线麦克风进行本地扩音。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7.可扩展连接蓝牙接收器实现接收蓝牙音频进行本地扩声。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8.兼容路由器、交换机、网桥网关、Modem、Internet、2G、3G、4G等任意网络结构。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9.数字化产品，扩容方便，不受地理位置限制，无需增加机房管理设备，采用共网免线路施工的设计理念，安装简便。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10.支持广播系统对终端进行远程固件升级，无需到终端本地升级，减轻维护人员工作强度。</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IP网络对讲终端</w:t>
            </w:r>
          </w:p>
        </w:tc>
        <w:tc>
          <w:tcPr>
            <w:tcW w:w="49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1.设备采用嵌入式计算机技术和DSP音频处理技术设计。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2.一键求助，呼叫中控室对讲话筒，实现快速链接，操作简单快捷。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3.内置高灵敏度麦克风，声音采集区域广、音色还原度高。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4.内置3W全频扬声器。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6.支持本地电子门锁，本地报警指示灯。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7.支持2路本地短路信号接入，联动1路短路输出，用于监控短路联动。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8.压接式直流供电接口，外接24V电源适配器或集中供电电源。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9.两种安装方式：嵌入安装或明装安装。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10.自带1路线路输出，用于接驳有源音箱，实现广播语音寻呼。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11.支持巡更设备短路信号输入，自定义设定辖区安保巡逻签到时间计划。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12.支持面板按键联动1路短路输出或铃声报警，用于监控短路联动或紧急事件提示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13.支持面板拆卸报警功能，面板拆卸报警的同时联动本地和远程多台设备短路输出，用于接驳警铃或警用报警号角。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14.支持广播系统对终端进行远程固件升级，无需到终端本地升级，减轻维护人员工作强度。</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49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3.支持监听任意终端功能，内置2W全频高保真扬声器，实现双向通话和网络监听。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4.支持1路音频线路输入，支持采集播放功能；具有1路音频线路输出，可外接功率放大器。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5.支持直接操作呼叫或对讲任意终端，支持通过话筒广播呼叫功能，广播延时低于100毫秒。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6.支持多种呼叫策略，包括无响应转移、占线转移、关机转移；自动接听、手动接听，支持自定义接听提示音，支持转移时间、无人接听时间、呼叫等待时间自定义。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7.具有1个3.5耳机接口、1路3.5话筒输入接口。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8.具有1路短路输出接口、1路短路输入接口。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9.支持通过后台软件对终端进行远程固件升级。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10.信噪比＞65dB，总偕波失真≤1%，LIEN OUT频率响应：80Hz～16KHz，输出电平：1000mV。</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千兆10公里单模双纤模块，不分收发，TX1310nm/1.25G，RX1310nm/1.25G，LC，10km，0～70℃，SFP</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铠装光缆</w:t>
            </w:r>
          </w:p>
        </w:tc>
        <w:tc>
          <w:tcPr>
            <w:tcW w:w="4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8芯单模户外光缆，芯径9微米，层绞结构</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CellMar>
            <w:top w:w="0" w:type="dxa"/>
            <w:left w:w="108" w:type="dxa"/>
            <w:bottom w:w="0" w:type="dxa"/>
            <w:right w:w="108"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六类八芯非屏蔽双绞线，305米/箱</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sz w:val="24"/>
          <w:szCs w:val="24"/>
        </w:rPr>
      </w:pPr>
      <w:r>
        <w:rPr>
          <w:rFonts w:hint="eastAsia" w:ascii="宋体" w:hAnsi="宋体"/>
          <w:b/>
          <w:sz w:val="24"/>
          <w:szCs w:val="24"/>
        </w:rPr>
        <w:t>本项目清单所有设备备件线缆由投标方提供此配置方案为基本方案，厂家需根据现场考察情况完善功能，</w:t>
      </w:r>
      <w:r>
        <w:rPr>
          <w:rFonts w:hint="eastAsia" w:ascii="宋体" w:hAnsi="宋体"/>
          <w:b/>
          <w:sz w:val="24"/>
          <w:szCs w:val="24"/>
          <w:lang w:val="en-US" w:eastAsia="zh-CN"/>
        </w:rPr>
        <w:t>投标方必须严格按照各项参数与数量要求，可根据项目实际需求情况，增加完整配置，如达不到协议要求由中标方无偿提供所需部件，要求产品和配件必须是国内知名厂家，且为市场通用，参与投标方需提供详细清单及品牌规格。弧形操作台外形样式由炼钢部提供或中标方提供不少于5种样式供炼钢部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b w:val="0"/>
          <w:bCs w:val="0"/>
          <w:lang w:val="en-US" w:eastAsia="zh-CN"/>
        </w:rPr>
      </w:pPr>
      <w:r>
        <w:rPr>
          <w:rFonts w:hint="eastAsia" w:ascii="宋体" w:hAnsi="宋体"/>
          <w:b/>
          <w:sz w:val="24"/>
          <w:szCs w:val="24"/>
          <w:lang w:eastAsia="zh-CN"/>
        </w:rPr>
        <w:t>中标方</w:t>
      </w:r>
      <w:r>
        <w:rPr>
          <w:rFonts w:hint="eastAsia" w:ascii="宋体" w:hAnsi="宋体"/>
          <w:b/>
          <w:sz w:val="24"/>
          <w:szCs w:val="24"/>
        </w:rPr>
        <w:t>负责调试和安装指导，同时保证改造后系统的完整性、先进性、稳定性。</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E227A"/>
    <w:multiLevelType w:val="singleLevel"/>
    <w:tmpl w:val="800E227A"/>
    <w:lvl w:ilvl="0" w:tentative="0">
      <w:start w:val="1"/>
      <w:numFmt w:val="decimal"/>
      <w:suff w:val="space"/>
      <w:lvlText w:val="%1."/>
      <w:lvlJc w:val="left"/>
    </w:lvl>
  </w:abstractNum>
  <w:abstractNum w:abstractNumId="1">
    <w:nsid w:val="53BAF2D8"/>
    <w:multiLevelType w:val="singleLevel"/>
    <w:tmpl w:val="53BAF2D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83005"/>
    <w:rsid w:val="02C64EBE"/>
    <w:rsid w:val="06807AF8"/>
    <w:rsid w:val="08813ABF"/>
    <w:rsid w:val="0ABF1F84"/>
    <w:rsid w:val="0B7C080D"/>
    <w:rsid w:val="0CCA01FE"/>
    <w:rsid w:val="0CE03F1C"/>
    <w:rsid w:val="0E0851D8"/>
    <w:rsid w:val="0E57583F"/>
    <w:rsid w:val="0F2F6B38"/>
    <w:rsid w:val="0F813349"/>
    <w:rsid w:val="13977C7E"/>
    <w:rsid w:val="13EE784E"/>
    <w:rsid w:val="152D16C7"/>
    <w:rsid w:val="186447D2"/>
    <w:rsid w:val="233014EE"/>
    <w:rsid w:val="25DA6B8C"/>
    <w:rsid w:val="26432973"/>
    <w:rsid w:val="28423275"/>
    <w:rsid w:val="29925370"/>
    <w:rsid w:val="29CA3090"/>
    <w:rsid w:val="2D515406"/>
    <w:rsid w:val="2ECD7C5A"/>
    <w:rsid w:val="2F4D6C98"/>
    <w:rsid w:val="342B7BC1"/>
    <w:rsid w:val="34801BA9"/>
    <w:rsid w:val="34E31A80"/>
    <w:rsid w:val="35D86EC6"/>
    <w:rsid w:val="38EC2E44"/>
    <w:rsid w:val="39090748"/>
    <w:rsid w:val="403B3AAD"/>
    <w:rsid w:val="4232332E"/>
    <w:rsid w:val="42DA1649"/>
    <w:rsid w:val="47A621F0"/>
    <w:rsid w:val="48AF7F15"/>
    <w:rsid w:val="496732C2"/>
    <w:rsid w:val="54A23189"/>
    <w:rsid w:val="55240004"/>
    <w:rsid w:val="573B403B"/>
    <w:rsid w:val="5C4A5B68"/>
    <w:rsid w:val="5E7B25E3"/>
    <w:rsid w:val="60061F6B"/>
    <w:rsid w:val="601C493F"/>
    <w:rsid w:val="61451D90"/>
    <w:rsid w:val="61E86176"/>
    <w:rsid w:val="62841E3E"/>
    <w:rsid w:val="64282DC3"/>
    <w:rsid w:val="656C290C"/>
    <w:rsid w:val="65945832"/>
    <w:rsid w:val="65E958A2"/>
    <w:rsid w:val="67F8522D"/>
    <w:rsid w:val="6DFF470D"/>
    <w:rsid w:val="712B4E51"/>
    <w:rsid w:val="73761736"/>
    <w:rsid w:val="76327BF8"/>
    <w:rsid w:val="78E15C4C"/>
    <w:rsid w:val="7AC22EE2"/>
    <w:rsid w:val="7DAF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spacing w:line="200" w:lineRule="exact"/>
      <w:jc w:val="both"/>
    </w:pPr>
    <w:rPr>
      <w:rFonts w:ascii="Times New Roman" w:hAnsi="Times New Roman" w:eastAsia="宋体" w:cs="Times New Roman"/>
      <w:kern w:val="2"/>
      <w:sz w:val="21"/>
      <w:lang w:val="en-US" w:eastAsia="zh-CN" w:bidi="ar-SA"/>
    </w:rPr>
  </w:style>
  <w:style w:type="paragraph" w:customStyle="1" w:styleId="7">
    <w:name w:val="正文 New New New"/>
    <w:qFormat/>
    <w:uiPriority w:val="0"/>
    <w:pPr>
      <w:widowControl w:val="0"/>
      <w:spacing w:line="200" w:lineRule="exact"/>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2264</Words>
  <Characters>2386</Characters>
  <Paragraphs>213</Paragraphs>
  <TotalTime>2</TotalTime>
  <ScaleCrop>false</ScaleCrop>
  <LinksUpToDate>false</LinksUpToDate>
  <CharactersWithSpaces>2386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2021-06-21T01:05:00Z</dcterms:created>
  <dc:creator>Administrator</dc:creator>
  <cp:lastModifiedBy>Administrator</cp:lastModifiedBy>
  <dcterms:modified xsi:type="dcterms:W3CDTF">2021-07-13T08:54:32Z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3E1AFB1A175E4DF58E79DDAF09353DB6</vt:lpwstr>
  </property>
</Properties>
</file>