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低氟化渣剂（预溶性）</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7</w:t>
      </w:r>
      <w:r>
        <w:rPr>
          <w:rFonts w:hint="eastAsia"/>
          <w:color w:val="000000"/>
          <w:sz w:val="24"/>
          <w:szCs w:val="24"/>
        </w:rPr>
        <w:t>月</w:t>
      </w:r>
      <w:r>
        <w:rPr>
          <w:rFonts w:hint="eastAsia"/>
          <w:color w:val="000000"/>
          <w:sz w:val="24"/>
          <w:szCs w:val="24"/>
          <w:u w:val="single"/>
          <w:lang w:val="en-US" w:eastAsia="zh-CN"/>
        </w:rPr>
        <w:t>20</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WHXX</w:t>
      </w:r>
      <w:r>
        <w:rPr>
          <w:rFonts w:hint="eastAsia" w:ascii="宋体" w:hAnsi="宋体"/>
          <w:u w:val="single"/>
          <w:lang w:val="en-US" w:eastAsia="zh-CN"/>
        </w:rPr>
        <w:t>202107009DFHZJ</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低氟化渣剂（预溶性）</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 xml:space="preserve">招标办：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 xml:space="preserve">炉料部：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13955388390</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lang w:val="en-US" w:eastAsia="zh-CN"/>
        </w:rPr>
        <w:t>7</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27</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7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29</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下</w:t>
      </w:r>
      <w:r>
        <w:rPr>
          <w:rFonts w:hint="eastAsia"/>
          <w:color w:val="2A2A2A"/>
          <w:sz w:val="24"/>
          <w:szCs w:val="24"/>
          <w:shd w:val="clear" w:color="auto" w:fill="FFFFFF"/>
        </w:rPr>
        <w:t>午</w:t>
      </w:r>
      <w:r>
        <w:rPr>
          <w:rFonts w:hint="eastAsia"/>
          <w:color w:val="2A2A2A"/>
          <w:sz w:val="24"/>
          <w:szCs w:val="24"/>
          <w:u w:val="single"/>
          <w:shd w:val="clear" w:color="auto" w:fill="FFFFFF"/>
          <w:lang w:val="en-US" w:eastAsia="zh-CN"/>
        </w:rPr>
        <w:t>14:00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hint="eastAsia" w:ascii="宋体" w:hAnsi="宋体" w:eastAsia="宋体"/>
          <w:b/>
          <w:bCs/>
          <w:color w:val="4F81BD"/>
          <w:sz w:val="28"/>
          <w:szCs w:val="28"/>
          <w:lang w:val="en-US" w:eastAsia="zh-CN"/>
        </w:rPr>
      </w:pPr>
      <w:r>
        <w:rPr>
          <w:rFonts w:hint="eastAsia" w:ascii="宋体" w:hAnsi="宋体"/>
          <w:b/>
          <w:bCs/>
          <w:color w:val="4F81BD"/>
          <w:sz w:val="28"/>
          <w:szCs w:val="28"/>
        </w:rPr>
        <w:t>附件5：报价表</w:t>
      </w:r>
      <w:r>
        <w:rPr>
          <w:rFonts w:hint="eastAsia" w:ascii="宋体" w:hAnsi="宋体"/>
          <w:b/>
          <w:bCs/>
          <w:color w:val="4F81BD"/>
          <w:sz w:val="28"/>
          <w:szCs w:val="28"/>
          <w:lang w:val="en-US" w:eastAsia="zh-CN"/>
        </w:rPr>
        <w:t xml:space="preserve"> </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val="en-US" w:eastAsia="zh-CN"/>
        </w:rPr>
        <w:t>伍万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rPr>
        <w:t xml:space="preserve"> </w:t>
      </w:r>
      <w:r>
        <w:rPr>
          <w:rFonts w:hint="eastAsia" w:ascii="宋体" w:hAnsi="宋体"/>
          <w:sz w:val="24"/>
          <w:szCs w:val="24"/>
          <w:lang w:val="en-US" w:eastAsia="zh-CN"/>
        </w:rPr>
        <w:t>7</w:t>
      </w:r>
      <w:r>
        <w:rPr>
          <w:rFonts w:hint="eastAsia" w:ascii="宋体" w:hAnsi="宋体"/>
          <w:bCs/>
          <w:color w:val="7030A0"/>
          <w:sz w:val="24"/>
          <w:szCs w:val="24"/>
        </w:rPr>
        <w:t>月</w:t>
      </w:r>
      <w:r>
        <w:rPr>
          <w:rFonts w:hint="eastAsia" w:ascii="宋体" w:hAnsi="宋体"/>
          <w:sz w:val="24"/>
          <w:szCs w:val="24"/>
          <w:lang w:val="en-US" w:eastAsia="zh-CN"/>
        </w:rPr>
        <w:t>27</w:t>
      </w:r>
      <w:r>
        <w:rPr>
          <w:rFonts w:hint="eastAsia" w:ascii="宋体" w:hAnsi="宋体"/>
          <w:bCs/>
          <w:color w:val="7030A0"/>
          <w:sz w:val="24"/>
          <w:szCs w:val="24"/>
        </w:rPr>
        <w:t>日</w:t>
      </w:r>
      <w:r>
        <w:rPr>
          <w:rFonts w:hint="eastAsia" w:ascii="宋体" w:hAnsi="宋体"/>
          <w:sz w:val="24"/>
          <w:szCs w:val="24"/>
          <w:lang w:val="en-US" w:eastAsia="zh-CN"/>
        </w:rPr>
        <w:t>16</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ind w:left="480"/>
        <w:rPr>
          <w:rFonts w:hint="default" w:ascii="宋体" w:hAnsi="宋体"/>
          <w:color w:val="FF0000"/>
          <w:sz w:val="24"/>
          <w:szCs w:val="24"/>
          <w:lang w:val="en-US" w:eastAsia="zh-CN"/>
        </w:rPr>
      </w:pPr>
      <w:r>
        <w:rPr>
          <w:rFonts w:hint="eastAsia" w:ascii="宋体" w:hAnsi="宋体"/>
          <w:color w:val="FF0000"/>
          <w:sz w:val="24"/>
          <w:szCs w:val="24"/>
          <w:lang w:val="en-US" w:eastAsia="zh-CN"/>
        </w:rPr>
        <w:t>3.标书需要胶装。</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hint="eastAsia" w:ascii="宋体" w:hAnsi="宋体"/>
          <w:color w:val="FF0000"/>
          <w:sz w:val="28"/>
          <w:szCs w:val="28"/>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w:t>
      </w:r>
      <w:r>
        <w:rPr>
          <w:rFonts w:hint="eastAsia" w:ascii="宋体" w:hAnsi="宋体"/>
          <w:sz w:val="24"/>
          <w:szCs w:val="24"/>
        </w:rPr>
        <w:t>0分,质量：</w:t>
      </w:r>
      <w:r>
        <w:rPr>
          <w:rFonts w:hint="eastAsia" w:ascii="宋体" w:hAnsi="宋体"/>
          <w:sz w:val="24"/>
          <w:szCs w:val="24"/>
          <w:lang w:val="en-US" w:eastAsia="zh-CN"/>
        </w:rPr>
        <w:t>4</w:t>
      </w:r>
      <w:r>
        <w:rPr>
          <w:rFonts w:hint="eastAsia" w:ascii="宋体" w:hAnsi="宋体"/>
          <w:sz w:val="24"/>
          <w:szCs w:val="24"/>
        </w:rPr>
        <w:t>0分,资质、装备及工艺技术水平、业绩状况：10分,服务、工期及资金状况：10分。</w:t>
      </w:r>
    </w:p>
    <w:p>
      <w:pPr>
        <w:rPr>
          <w:b/>
        </w:rPr>
      </w:pPr>
    </w:p>
    <w:p>
      <w:pPr>
        <w:numPr>
          <w:ilvl w:val="0"/>
          <w:numId w:val="7"/>
        </w:numPr>
        <w:rPr>
          <w:b/>
          <w:sz w:val="24"/>
          <w:szCs w:val="24"/>
        </w:rPr>
      </w:pPr>
      <w:r>
        <w:rPr>
          <w:rFonts w:hint="eastAsia"/>
          <w:b/>
          <w:sz w:val="24"/>
          <w:szCs w:val="24"/>
        </w:rPr>
        <w:t>其他要求</w:t>
      </w:r>
    </w:p>
    <w:p>
      <w:pPr>
        <w:numPr>
          <w:ilvl w:val="0"/>
          <w:numId w:val="8"/>
        </w:numPr>
        <w:spacing w:line="360" w:lineRule="auto"/>
        <w:ind w:firstLine="482" w:firstLineChars="200"/>
        <w:rPr>
          <w:rFonts w:hint="eastAsia" w:ascii="宋体" w:hAnsi="宋体"/>
          <w:b/>
          <w:color w:val="FF0000"/>
          <w:sz w:val="24"/>
          <w:szCs w:val="24"/>
          <w:lang w:val="en-US" w:eastAsia="zh-CN"/>
        </w:rPr>
      </w:pPr>
      <w:r>
        <w:rPr>
          <w:rFonts w:hint="eastAsia" w:ascii="宋体" w:hAnsi="宋体"/>
          <w:b/>
          <w:color w:val="FF0000"/>
          <w:sz w:val="24"/>
          <w:szCs w:val="24"/>
          <w:lang w:val="en-US" w:eastAsia="zh-CN"/>
        </w:rPr>
        <w:t>满足</w:t>
      </w:r>
      <w:r>
        <w:rPr>
          <w:rFonts w:hint="eastAsia" w:ascii="宋体" w:hAnsi="宋体"/>
          <w:b/>
          <w:color w:val="FF0000"/>
          <w:sz w:val="24"/>
          <w:szCs w:val="24"/>
        </w:rPr>
        <w:t>业主单位生产使用要求</w:t>
      </w:r>
      <w:r>
        <w:rPr>
          <w:rFonts w:hint="eastAsia" w:ascii="宋体" w:hAnsi="宋体"/>
          <w:b/>
          <w:color w:val="FF0000"/>
          <w:sz w:val="24"/>
          <w:szCs w:val="24"/>
          <w:lang w:val="en-US" w:eastAsia="zh-CN"/>
        </w:rPr>
        <w:t>及附件技术要求。</w:t>
      </w:r>
    </w:p>
    <w:p>
      <w:pPr>
        <w:numPr>
          <w:ilvl w:val="0"/>
          <w:numId w:val="8"/>
        </w:numPr>
        <w:spacing w:line="360" w:lineRule="auto"/>
        <w:ind w:firstLine="482" w:firstLineChars="200"/>
        <w:rPr>
          <w:rFonts w:hint="eastAsia" w:ascii="宋体" w:hAnsi="宋体"/>
          <w:b/>
          <w:color w:val="FF0000"/>
          <w:sz w:val="24"/>
          <w:szCs w:val="24"/>
          <w:lang w:val="en-US" w:eastAsia="zh-CN"/>
        </w:rPr>
      </w:pPr>
      <w:r>
        <w:rPr>
          <w:rFonts w:hint="eastAsia" w:ascii="宋体" w:hAnsi="宋体"/>
          <w:b/>
          <w:color w:val="FF0000"/>
          <w:sz w:val="24"/>
          <w:szCs w:val="24"/>
          <w:lang w:val="en-US" w:eastAsia="zh-CN"/>
        </w:rPr>
        <w:t>至少提供一份2019年至今（以合同签订时间为准）钢企化渣剂供货业绩。</w:t>
      </w:r>
    </w:p>
    <w:p>
      <w:pPr>
        <w:numPr>
          <w:ilvl w:val="0"/>
          <w:numId w:val="8"/>
        </w:numPr>
        <w:spacing w:line="360" w:lineRule="auto"/>
        <w:ind w:firstLine="482" w:firstLineChars="200"/>
        <w:rPr>
          <w:rFonts w:hint="eastAsia" w:ascii="宋体" w:hAnsi="宋体"/>
          <w:b/>
          <w:color w:val="FF0000"/>
          <w:sz w:val="24"/>
          <w:szCs w:val="24"/>
        </w:rPr>
      </w:pPr>
      <w:r>
        <w:rPr>
          <w:rFonts w:hint="eastAsia" w:ascii="宋体" w:hAnsi="宋体"/>
          <w:b/>
          <w:color w:val="FF0000"/>
          <w:sz w:val="24"/>
          <w:szCs w:val="24"/>
          <w:lang w:val="en-US" w:eastAsia="zh-CN"/>
        </w:rPr>
        <w:t>本次招标招三个月的供货量，约550吨/月（该数量为理论需求数量，具体供货数量以生产单位实际用量为准，具体供货时间以商务部门通知为准）按照单吨价报价，并注明相应的供应数量。</w:t>
      </w:r>
    </w:p>
    <w:p>
      <w:pPr>
        <w:numPr>
          <w:numId w:val="0"/>
        </w:numPr>
        <w:spacing w:line="360" w:lineRule="auto"/>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bookmarkStart w:id="0" w:name="_GoBack"/>
      <w:bookmarkEnd w:id="0"/>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20</w:t>
      </w:r>
      <w:r>
        <w:rPr>
          <w:rFonts w:hint="eastAsia" w:ascii="宋体" w:hAnsi="宋体"/>
          <w:sz w:val="24"/>
          <w:szCs w:val="24"/>
        </w:rPr>
        <w:t>日</w:t>
      </w:r>
    </w:p>
    <w:p>
      <w:pPr>
        <w:widowControl w:val="0"/>
        <w:spacing w:line="240" w:lineRule="atLeast"/>
        <w:jc w:val="both"/>
        <w:rPr>
          <w:rFonts w:hint="eastAsia" w:ascii="宋体" w:hAnsi="宋体"/>
          <w:sz w:val="24"/>
          <w:szCs w:val="24"/>
        </w:rPr>
      </w:pPr>
    </w:p>
    <w:p>
      <w:pPr>
        <w:widowControl w:val="0"/>
        <w:spacing w:line="240" w:lineRule="atLeast"/>
        <w:jc w:val="both"/>
        <w:rPr>
          <w:rFonts w:hint="eastAsia" w:ascii="宋体" w:hAnsi="宋体"/>
          <w:sz w:val="24"/>
          <w:szCs w:val="24"/>
        </w:rPr>
      </w:pPr>
    </w:p>
    <w:p>
      <w:pPr>
        <w:widowControl w:val="0"/>
        <w:spacing w:line="240" w:lineRule="atLeast"/>
        <w:jc w:val="both"/>
        <w:rPr>
          <w:rFonts w:hint="eastAsia" w:ascii="宋体" w:hAnsi="宋体"/>
          <w:sz w:val="24"/>
          <w:szCs w:val="24"/>
        </w:rPr>
      </w:pPr>
    </w:p>
    <w:p>
      <w:pPr>
        <w:widowControl w:val="0"/>
        <w:spacing w:line="240" w:lineRule="atLeast"/>
        <w:jc w:val="both"/>
        <w:rPr>
          <w:rFonts w:hint="eastAsia" w:ascii="宋体" w:hAnsi="宋体"/>
          <w:sz w:val="24"/>
          <w:szCs w:val="24"/>
        </w:rPr>
      </w:pPr>
    </w:p>
    <w:p>
      <w:pPr>
        <w:jc w:val="right"/>
        <w:rPr>
          <w:rFonts w:hint="eastAsia"/>
          <w:b w:val="0"/>
          <w:bCs/>
          <w:color w:val="auto"/>
          <w:sz w:val="28"/>
          <w:szCs w:val="28"/>
          <w:u w:val="none" w:color="auto"/>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b/>
          <w:color w:val="auto"/>
          <w:sz w:val="36"/>
          <w:szCs w:val="36"/>
          <w:u w:val="none" w:color="auto"/>
          <w:lang w:eastAsia="zh-CN"/>
        </w:rPr>
      </w:pPr>
      <w:r>
        <w:rPr>
          <w:rFonts w:hint="eastAsia"/>
          <w:b/>
          <w:color w:val="auto"/>
          <w:sz w:val="36"/>
          <w:szCs w:val="36"/>
          <w:u w:val="none" w:color="auto"/>
          <w:lang w:eastAsia="zh-CN"/>
        </w:rPr>
        <w:t>低氟化渣剂（预熔性）质量标准技术统一平台</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Chars="0" w:right="0" w:rightChars="0"/>
        <w:jc w:val="left"/>
        <w:textAlignment w:val="auto"/>
        <w:outlineLvl w:val="9"/>
        <w:rPr>
          <w:rFonts w:hint="eastAsia"/>
          <w:b/>
          <w:bCs w:val="0"/>
          <w:color w:val="auto"/>
          <w:sz w:val="24"/>
          <w:szCs w:val="24"/>
          <w:u w:val="none" w:color="auto"/>
          <w:lang w:val="en-US" w:eastAsia="zh-CN"/>
        </w:rPr>
      </w:pPr>
      <w:r>
        <w:rPr>
          <w:rFonts w:hint="eastAsia"/>
          <w:b/>
          <w:bCs w:val="0"/>
          <w:color w:val="auto"/>
          <w:sz w:val="24"/>
          <w:szCs w:val="24"/>
          <w:u w:val="none" w:color="auto"/>
          <w:lang w:val="en-US" w:eastAsia="zh-CN"/>
        </w:rPr>
        <w:t>1.范围</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本标准规定了炼钢用低氟化渣剂（预熔性）的采购标准、让步接受条件及包装要求。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Chars="0" w:right="0" w:rightChars="0"/>
        <w:jc w:val="left"/>
        <w:textAlignment w:val="auto"/>
        <w:outlineLvl w:val="9"/>
        <w:rPr>
          <w:rFonts w:hint="eastAsia"/>
          <w:b/>
          <w:bCs w:val="0"/>
          <w:color w:val="auto"/>
          <w:sz w:val="24"/>
          <w:szCs w:val="24"/>
          <w:u w:val="none" w:color="auto"/>
          <w:lang w:val="en-US" w:eastAsia="zh-CN"/>
        </w:rPr>
      </w:pPr>
      <w:r>
        <w:rPr>
          <w:rFonts w:hint="eastAsia"/>
          <w:b/>
          <w:bCs w:val="0"/>
          <w:color w:val="auto"/>
          <w:sz w:val="24"/>
          <w:szCs w:val="24"/>
          <w:u w:val="none" w:color="auto"/>
          <w:lang w:val="en-US" w:eastAsia="zh-CN"/>
        </w:rPr>
        <w:t>2.技术要求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2.1检验项目</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pt-BR" w:eastAsia="zh-CN"/>
        </w:rPr>
        <w:t>CaO、SiO2、Al2O3、TFe、</w:t>
      </w:r>
      <w:r>
        <w:rPr>
          <w:rFonts w:hint="eastAsia"/>
          <w:b w:val="0"/>
          <w:bCs/>
          <w:color w:val="auto"/>
          <w:sz w:val="24"/>
          <w:szCs w:val="24"/>
          <w:u w:val="none" w:color="auto"/>
          <w:lang w:val="en-US" w:eastAsia="zh-CN"/>
        </w:rPr>
        <w:t>Ca</w:t>
      </w:r>
      <w:r>
        <w:rPr>
          <w:rFonts w:hint="eastAsia"/>
          <w:b w:val="0"/>
          <w:bCs/>
          <w:color w:val="auto"/>
          <w:sz w:val="24"/>
          <w:szCs w:val="24"/>
          <w:u w:val="none" w:color="auto"/>
          <w:lang w:val="pt-BR" w:eastAsia="zh-CN"/>
        </w:rPr>
        <w:t>F</w:t>
      </w:r>
      <w:r>
        <w:rPr>
          <w:rFonts w:hint="eastAsia"/>
          <w:b w:val="0"/>
          <w:bCs/>
          <w:color w:val="auto"/>
          <w:sz w:val="24"/>
          <w:szCs w:val="24"/>
          <w:u w:val="none" w:color="auto"/>
          <w:lang w:val="en-US" w:eastAsia="zh-CN"/>
        </w:rPr>
        <w:t>2、MgO、</w:t>
      </w:r>
      <w:r>
        <w:rPr>
          <w:rFonts w:hint="eastAsia"/>
          <w:b w:val="0"/>
          <w:bCs/>
          <w:color w:val="auto"/>
          <w:sz w:val="24"/>
          <w:szCs w:val="24"/>
          <w:u w:val="none" w:color="auto"/>
          <w:lang w:val="pt-BR" w:eastAsia="zh-CN"/>
        </w:rPr>
        <w:t>S、P、H2O、粒度</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2.2检验标准</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CaO:5-20%、SiO2≤8%、Al2O3：40-55%、TFe≤1.5%、CaF2：20-40%、MgO≤3%、S≤0.15%、P≤0.06%、H2O≤1%、粒度5-40mm≥90%</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2.3让步接受条件</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default"/>
          <w:b w:val="0"/>
          <w:bCs/>
          <w:color w:val="auto"/>
          <w:sz w:val="24"/>
          <w:szCs w:val="24"/>
          <w:u w:val="none" w:color="auto"/>
          <w:lang w:val="en-US" w:eastAsia="zh-CN"/>
        </w:rPr>
      </w:pPr>
      <w:r>
        <w:rPr>
          <w:rFonts w:hint="default"/>
          <w:b w:val="0"/>
          <w:bCs/>
          <w:color w:val="auto"/>
          <w:sz w:val="24"/>
          <w:szCs w:val="24"/>
          <w:u w:val="none" w:color="auto"/>
          <w:lang w:val="en-US" w:eastAsia="zh-CN"/>
        </w:rPr>
        <w:t>CaO≤</w:t>
      </w:r>
      <w:r>
        <w:rPr>
          <w:rFonts w:hint="eastAsia"/>
          <w:b w:val="0"/>
          <w:bCs/>
          <w:color w:val="auto"/>
          <w:sz w:val="24"/>
          <w:szCs w:val="24"/>
          <w:u w:val="none" w:color="auto"/>
          <w:lang w:val="en-US" w:eastAsia="zh-CN"/>
        </w:rPr>
        <w:t>22</w:t>
      </w:r>
      <w:r>
        <w:rPr>
          <w:rFonts w:hint="default"/>
          <w:b w:val="0"/>
          <w:bCs/>
          <w:color w:val="auto"/>
          <w:sz w:val="24"/>
          <w:szCs w:val="24"/>
          <w:u w:val="none" w:color="auto"/>
          <w:lang w:val="en-US" w:eastAsia="zh-CN"/>
        </w:rPr>
        <w:t>%</w:t>
      </w:r>
      <w:r>
        <w:rPr>
          <w:rFonts w:hint="eastAsia"/>
          <w:b w:val="0"/>
          <w:bCs/>
          <w:color w:val="auto"/>
          <w:sz w:val="24"/>
          <w:szCs w:val="24"/>
          <w:u w:val="none" w:color="auto"/>
          <w:lang w:val="en-US" w:eastAsia="zh-CN"/>
        </w:rPr>
        <w:t>、</w:t>
      </w:r>
      <w:r>
        <w:rPr>
          <w:rFonts w:hint="default"/>
          <w:b w:val="0"/>
          <w:bCs/>
          <w:color w:val="auto"/>
          <w:sz w:val="24"/>
          <w:szCs w:val="24"/>
          <w:u w:val="none" w:color="auto"/>
          <w:lang w:val="en-US" w:eastAsia="zh-CN"/>
        </w:rPr>
        <w:t>SiO2≤</w:t>
      </w:r>
      <w:r>
        <w:rPr>
          <w:rFonts w:hint="eastAsia"/>
          <w:b w:val="0"/>
          <w:bCs/>
          <w:color w:val="auto"/>
          <w:sz w:val="24"/>
          <w:szCs w:val="24"/>
          <w:u w:val="none" w:color="auto"/>
          <w:lang w:val="en-US" w:eastAsia="zh-CN"/>
        </w:rPr>
        <w:t>10</w:t>
      </w:r>
      <w:r>
        <w:rPr>
          <w:rFonts w:hint="default"/>
          <w:b w:val="0"/>
          <w:bCs/>
          <w:color w:val="auto"/>
          <w:sz w:val="24"/>
          <w:szCs w:val="24"/>
          <w:u w:val="none" w:color="auto"/>
          <w:lang w:val="en-US" w:eastAsia="zh-CN"/>
        </w:rPr>
        <w:t>%</w:t>
      </w:r>
      <w:r>
        <w:rPr>
          <w:rFonts w:hint="eastAsia"/>
          <w:b w:val="0"/>
          <w:bCs/>
          <w:color w:val="auto"/>
          <w:sz w:val="24"/>
          <w:szCs w:val="24"/>
          <w:u w:val="none" w:color="auto"/>
          <w:lang w:val="en-US" w:eastAsia="zh-CN"/>
        </w:rPr>
        <w:t>、</w:t>
      </w:r>
      <w:r>
        <w:rPr>
          <w:rFonts w:hint="default"/>
          <w:b w:val="0"/>
          <w:bCs/>
          <w:color w:val="auto"/>
          <w:sz w:val="24"/>
          <w:szCs w:val="24"/>
          <w:u w:val="none" w:color="auto"/>
          <w:lang w:val="en-US" w:eastAsia="zh-CN"/>
        </w:rPr>
        <w:t>Al2O3</w:t>
      </w:r>
      <w:r>
        <w:rPr>
          <w:rFonts w:hint="eastAsia"/>
          <w:b w:val="0"/>
          <w:bCs/>
          <w:color w:val="auto"/>
          <w:sz w:val="24"/>
          <w:szCs w:val="24"/>
          <w:u w:val="none" w:color="auto"/>
          <w:lang w:val="en-US" w:eastAsia="zh-CN"/>
        </w:rPr>
        <w:t>≥35</w:t>
      </w:r>
      <w:r>
        <w:rPr>
          <w:rFonts w:hint="default"/>
          <w:b w:val="0"/>
          <w:bCs/>
          <w:color w:val="auto"/>
          <w:sz w:val="24"/>
          <w:szCs w:val="24"/>
          <w:u w:val="none" w:color="auto"/>
          <w:lang w:val="en-US" w:eastAsia="zh-CN"/>
        </w:rPr>
        <w:t>%</w:t>
      </w:r>
      <w:r>
        <w:rPr>
          <w:rFonts w:hint="eastAsia"/>
          <w:b w:val="0"/>
          <w:bCs/>
          <w:color w:val="auto"/>
          <w:sz w:val="24"/>
          <w:szCs w:val="24"/>
          <w:u w:val="none" w:color="auto"/>
          <w:lang w:val="en-US" w:eastAsia="zh-CN"/>
        </w:rPr>
        <w:t>、</w:t>
      </w:r>
      <w:r>
        <w:rPr>
          <w:rFonts w:hint="default"/>
          <w:b w:val="0"/>
          <w:bCs/>
          <w:color w:val="auto"/>
          <w:sz w:val="24"/>
          <w:szCs w:val="24"/>
          <w:u w:val="none" w:color="auto"/>
          <w:lang w:val="en-US" w:eastAsia="zh-CN"/>
        </w:rPr>
        <w:t>TFe≤</w:t>
      </w:r>
      <w:r>
        <w:rPr>
          <w:rFonts w:hint="eastAsia"/>
          <w:b w:val="0"/>
          <w:bCs/>
          <w:color w:val="auto"/>
          <w:sz w:val="24"/>
          <w:szCs w:val="24"/>
          <w:u w:val="none" w:color="auto"/>
          <w:lang w:val="en-US" w:eastAsia="zh-CN"/>
        </w:rPr>
        <w:t>2</w:t>
      </w:r>
      <w:r>
        <w:rPr>
          <w:rFonts w:hint="default"/>
          <w:b w:val="0"/>
          <w:bCs/>
          <w:color w:val="auto"/>
          <w:sz w:val="24"/>
          <w:szCs w:val="24"/>
          <w:u w:val="none" w:color="auto"/>
          <w:lang w:val="en-US" w:eastAsia="zh-CN"/>
        </w:rPr>
        <w:t>%</w:t>
      </w:r>
      <w:r>
        <w:rPr>
          <w:rFonts w:hint="eastAsia"/>
          <w:b w:val="0"/>
          <w:bCs/>
          <w:color w:val="auto"/>
          <w:sz w:val="24"/>
          <w:szCs w:val="24"/>
          <w:u w:val="none" w:color="auto"/>
          <w:lang w:val="en-US" w:eastAsia="zh-CN"/>
        </w:rPr>
        <w:t>、Ca</w:t>
      </w:r>
      <w:r>
        <w:rPr>
          <w:rFonts w:hint="default"/>
          <w:b w:val="0"/>
          <w:bCs/>
          <w:color w:val="auto"/>
          <w:sz w:val="24"/>
          <w:szCs w:val="24"/>
          <w:u w:val="none" w:color="auto"/>
          <w:lang w:val="en-US" w:eastAsia="zh-CN"/>
        </w:rPr>
        <w:t>F</w:t>
      </w:r>
      <w:r>
        <w:rPr>
          <w:rFonts w:hint="eastAsia"/>
          <w:b w:val="0"/>
          <w:bCs/>
          <w:color w:val="auto"/>
          <w:sz w:val="24"/>
          <w:szCs w:val="24"/>
          <w:u w:val="none" w:color="auto"/>
          <w:lang w:val="en-US" w:eastAsia="zh-CN"/>
        </w:rPr>
        <w:t>2≥15</w:t>
      </w:r>
      <w:r>
        <w:rPr>
          <w:rFonts w:hint="default"/>
          <w:b w:val="0"/>
          <w:bCs/>
          <w:color w:val="auto"/>
          <w:sz w:val="24"/>
          <w:szCs w:val="24"/>
          <w:u w:val="none" w:color="auto"/>
          <w:lang w:val="en-US" w:eastAsia="zh-CN"/>
        </w:rPr>
        <w:t>%</w:t>
      </w:r>
      <w:r>
        <w:rPr>
          <w:rFonts w:hint="eastAsia"/>
          <w:b w:val="0"/>
          <w:bCs/>
          <w:color w:val="auto"/>
          <w:sz w:val="24"/>
          <w:szCs w:val="24"/>
          <w:u w:val="none" w:color="auto"/>
          <w:lang w:val="en-US" w:eastAsia="zh-CN"/>
        </w:rPr>
        <w:t>、</w:t>
      </w:r>
      <w:r>
        <w:rPr>
          <w:rFonts w:hint="default"/>
          <w:b w:val="0"/>
          <w:bCs/>
          <w:color w:val="auto"/>
          <w:sz w:val="24"/>
          <w:szCs w:val="24"/>
          <w:u w:val="none" w:color="auto"/>
          <w:lang w:val="en-US" w:eastAsia="zh-CN"/>
        </w:rPr>
        <w:t>H2O≤</w:t>
      </w:r>
      <w:r>
        <w:rPr>
          <w:rFonts w:hint="eastAsia"/>
          <w:b w:val="0"/>
          <w:bCs/>
          <w:color w:val="auto"/>
          <w:sz w:val="24"/>
          <w:szCs w:val="24"/>
          <w:u w:val="none" w:color="auto"/>
          <w:lang w:val="en-US" w:eastAsia="zh-CN"/>
        </w:rPr>
        <w:t>2</w:t>
      </w:r>
      <w:r>
        <w:rPr>
          <w:rFonts w:hint="default"/>
          <w:b w:val="0"/>
          <w:bCs/>
          <w:color w:val="auto"/>
          <w:sz w:val="24"/>
          <w:szCs w:val="24"/>
          <w:u w:val="none" w:color="auto"/>
          <w:lang w:val="en-US" w:eastAsia="zh-CN"/>
        </w:rPr>
        <w:t>%</w:t>
      </w:r>
      <w:r>
        <w:rPr>
          <w:rFonts w:hint="eastAsia"/>
          <w:b w:val="0"/>
          <w:bCs/>
          <w:color w:val="auto"/>
          <w:sz w:val="24"/>
          <w:szCs w:val="24"/>
          <w:u w:val="none" w:color="auto"/>
          <w:lang w:val="en-US" w:eastAsia="zh-CN"/>
        </w:rPr>
        <w:t>、MgO</w:t>
      </w:r>
      <w:r>
        <w:rPr>
          <w:rFonts w:hint="default"/>
          <w:b w:val="0"/>
          <w:bCs/>
          <w:color w:val="auto"/>
          <w:sz w:val="24"/>
          <w:szCs w:val="24"/>
          <w:u w:val="none" w:color="auto"/>
          <w:lang w:val="en-US" w:eastAsia="zh-CN"/>
        </w:rPr>
        <w:t>≤</w:t>
      </w:r>
      <w:r>
        <w:rPr>
          <w:rFonts w:hint="eastAsia"/>
          <w:b w:val="0"/>
          <w:bCs/>
          <w:color w:val="auto"/>
          <w:sz w:val="24"/>
          <w:szCs w:val="24"/>
          <w:u w:val="none" w:color="auto"/>
          <w:lang w:val="en-US" w:eastAsia="zh-CN"/>
        </w:rPr>
        <w:t>4%、</w:t>
      </w:r>
      <w:r>
        <w:rPr>
          <w:rFonts w:hint="default"/>
          <w:b w:val="0"/>
          <w:bCs/>
          <w:color w:val="auto"/>
          <w:sz w:val="24"/>
          <w:szCs w:val="24"/>
          <w:u w:val="none" w:color="auto"/>
          <w:lang w:val="en-US" w:eastAsia="zh-CN"/>
        </w:rPr>
        <w:t>粒度5-</w:t>
      </w:r>
      <w:r>
        <w:rPr>
          <w:rFonts w:hint="eastAsia"/>
          <w:b w:val="0"/>
          <w:bCs/>
          <w:color w:val="auto"/>
          <w:sz w:val="24"/>
          <w:szCs w:val="24"/>
          <w:u w:val="none" w:color="auto"/>
          <w:lang w:val="en-US" w:eastAsia="zh-CN"/>
        </w:rPr>
        <w:t>4</w:t>
      </w:r>
      <w:r>
        <w:rPr>
          <w:rFonts w:hint="default"/>
          <w:b w:val="0"/>
          <w:bCs/>
          <w:color w:val="auto"/>
          <w:sz w:val="24"/>
          <w:szCs w:val="24"/>
          <w:u w:val="none" w:color="auto"/>
          <w:lang w:val="en-US" w:eastAsia="zh-CN"/>
        </w:rPr>
        <w:t>0mm≥</w:t>
      </w:r>
      <w:r>
        <w:rPr>
          <w:rFonts w:hint="eastAsia"/>
          <w:b w:val="0"/>
          <w:bCs/>
          <w:color w:val="auto"/>
          <w:sz w:val="24"/>
          <w:szCs w:val="24"/>
          <w:u w:val="none" w:color="auto"/>
          <w:lang w:val="en-US" w:eastAsia="zh-CN"/>
        </w:rPr>
        <w:t>85</w:t>
      </w:r>
      <w:r>
        <w:rPr>
          <w:rFonts w:hint="default"/>
          <w:b w:val="0"/>
          <w:bCs/>
          <w:color w:val="auto"/>
          <w:sz w:val="24"/>
          <w:szCs w:val="24"/>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2.4扣罚</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1、15%≤CaF2＜20%，每下降1%，合同价格降2%，CaF2＜15%退货，因故不能退货双倍处罚；</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2、35%≤Al2O3＜40%，每下降1%，合同价格降2%，Al2O3＜35%退货，因故不能退货双倍处罚；</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3、20%＜CaO≤22%，每增加1%，合同价格降2%，CaO＞22%退货，因故不能退货双倍处罚；</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4、8%＜SiO2≤10%，每增加1%，合同价格降2%，SiO2＞10%退货，因故不能退货双倍处罚；</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5、1.5%＜TFe</w:t>
      </w:r>
      <w:r>
        <w:rPr>
          <w:rFonts w:hint="default"/>
          <w:b w:val="0"/>
          <w:bCs/>
          <w:color w:val="auto"/>
          <w:sz w:val="24"/>
          <w:szCs w:val="24"/>
          <w:u w:val="none" w:color="auto"/>
          <w:lang w:val="en-US" w:eastAsia="zh-CN"/>
        </w:rPr>
        <w:t>≤</w:t>
      </w:r>
      <w:r>
        <w:rPr>
          <w:rFonts w:hint="eastAsia"/>
          <w:b w:val="0"/>
          <w:bCs/>
          <w:color w:val="auto"/>
          <w:sz w:val="24"/>
          <w:szCs w:val="24"/>
          <w:u w:val="none" w:color="auto"/>
          <w:lang w:val="en-US" w:eastAsia="zh-CN"/>
        </w:rPr>
        <w:t>2.0%，每超出范围0.1%，合同价格降1%，TFe＞2%退货，因故不能退货双倍处罚；</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6、P≤0.06%、S≤0.15%，每超出范围0.01%，合同价格降1%；</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7、粒度超标准范围扣吨位，超出让步范围退货，因故不能退货双倍处罚；粒度＞100mm，扣500元/块或退货</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8、H2O超标准按照双倍扣吨位，H2O＞2%退货，因故不能退货在处罚的基础上再加双倍扣款。</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9、3%＜MgO</w:t>
      </w:r>
      <w:r>
        <w:rPr>
          <w:rFonts w:hint="default"/>
          <w:b w:val="0"/>
          <w:bCs/>
          <w:color w:val="auto"/>
          <w:sz w:val="24"/>
          <w:szCs w:val="24"/>
          <w:u w:val="none" w:color="auto"/>
          <w:lang w:val="en-US" w:eastAsia="zh-CN"/>
        </w:rPr>
        <w:t>≤</w:t>
      </w:r>
      <w:r>
        <w:rPr>
          <w:rFonts w:hint="eastAsia"/>
          <w:b w:val="0"/>
          <w:bCs/>
          <w:color w:val="auto"/>
          <w:sz w:val="24"/>
          <w:szCs w:val="24"/>
          <w:u w:val="none" w:color="auto"/>
          <w:lang w:val="en-US" w:eastAsia="zh-CN"/>
        </w:rPr>
        <w:t>4%，每超出范围0.1%，合同价格降1%，MgO＞4%退货，因故不能退货双倍处罚。</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jc w:val="left"/>
        <w:textAlignment w:val="auto"/>
        <w:outlineLvl w:val="9"/>
        <w:rPr>
          <w:rFonts w:hint="eastAsia"/>
          <w:b/>
          <w:bCs w:val="0"/>
          <w:color w:val="auto"/>
          <w:sz w:val="24"/>
          <w:szCs w:val="24"/>
          <w:u w:val="none" w:color="auto"/>
          <w:lang w:val="en-US" w:eastAsia="zh-CN"/>
        </w:rPr>
      </w:pPr>
      <w:r>
        <w:rPr>
          <w:rFonts w:hint="eastAsia"/>
          <w:b/>
          <w:bCs w:val="0"/>
          <w:color w:val="auto"/>
          <w:sz w:val="24"/>
          <w:szCs w:val="24"/>
          <w:u w:val="none" w:color="auto"/>
          <w:lang w:val="en-US" w:eastAsia="zh-CN"/>
        </w:rPr>
        <w:t>3.包装要求</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both"/>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包装采用2层，外层为编织袋，内为塑料膜，塑料膜强度不易刺破，起到防潮作用，内膜及编织袋必须扎口。吨袋重量不得超过1.2吨；包装标识必须包含：厂家名称、重量、物料名称、生产日期。</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jc w:val="left"/>
        <w:textAlignment w:val="auto"/>
        <w:outlineLvl w:val="9"/>
        <w:rPr>
          <w:rFonts w:hint="eastAsia" w:cs="Times New Roman"/>
          <w:b/>
          <w:bCs w:val="0"/>
          <w:color w:val="auto"/>
          <w:sz w:val="24"/>
          <w:szCs w:val="24"/>
          <w:u w:val="none" w:color="auto"/>
          <w:lang w:val="en-US" w:eastAsia="zh-CN"/>
        </w:rPr>
      </w:pPr>
      <w:r>
        <w:rPr>
          <w:rFonts w:hint="eastAsia" w:cs="Times New Roman"/>
          <w:b/>
          <w:bCs w:val="0"/>
          <w:color w:val="auto"/>
          <w:sz w:val="24"/>
          <w:szCs w:val="24"/>
          <w:u w:val="none" w:color="auto"/>
          <w:lang w:val="en-US" w:eastAsia="zh-CN"/>
        </w:rPr>
        <w:t>4.贮存</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cs="Times New Roman"/>
          <w:b w:val="0"/>
          <w:bCs/>
          <w:color w:val="auto"/>
          <w:sz w:val="24"/>
          <w:szCs w:val="24"/>
          <w:u w:val="none" w:color="auto"/>
          <w:lang w:val="en-US" w:eastAsia="zh-CN"/>
        </w:rPr>
      </w:pPr>
      <w:r>
        <w:rPr>
          <w:rFonts w:hint="eastAsia" w:cs="Times New Roman"/>
          <w:b w:val="0"/>
          <w:bCs/>
          <w:color w:val="auto"/>
          <w:sz w:val="24"/>
          <w:szCs w:val="24"/>
          <w:u w:val="none" w:color="auto"/>
          <w:lang w:val="en-US" w:eastAsia="zh-CN"/>
        </w:rPr>
        <w:t>化渣剂存放在炼钢部库房。</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cs="Times New Roman"/>
          <w:b w:val="0"/>
          <w:bCs/>
          <w:color w:val="auto"/>
          <w:sz w:val="24"/>
          <w:szCs w:val="24"/>
          <w:u w:val="none" w:color="auto"/>
          <w:lang w:val="en-US" w:eastAsia="zh-CN"/>
        </w:rPr>
      </w:pP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p>
    <w:p>
      <w:pPr>
        <w:widowControl w:val="0"/>
        <w:spacing w:line="360" w:lineRule="auto"/>
        <w:jc w:val="both"/>
        <w:rPr>
          <w:rFonts w:hint="eastAsia" w:asciiTheme="minorEastAsia" w:hAnsiTheme="minorEastAsia" w:eastAsiaTheme="minorEastAsia"/>
          <w:color w:val="000000"/>
          <w:sz w:val="28"/>
          <w:szCs w:val="28"/>
        </w:rPr>
      </w:pPr>
      <w:r>
        <w:rPr>
          <w:b/>
        </w:rPr>
        <mc:AlternateContent>
          <mc:Choice Requires="wps">
            <w:drawing>
              <wp:anchor distT="0" distB="0" distL="114300" distR="114300" simplePos="0" relativeHeight="251660288" behindDoc="0" locked="0" layoutInCell="1" allowOverlap="1">
                <wp:simplePos x="0" y="0"/>
                <wp:positionH relativeFrom="column">
                  <wp:posOffset>5678805</wp:posOffset>
                </wp:positionH>
                <wp:positionV relativeFrom="paragraph">
                  <wp:posOffset>195580</wp:posOffset>
                </wp:positionV>
                <wp:extent cx="1028700" cy="891540"/>
                <wp:effectExtent l="158115" t="205105" r="165735" b="217805"/>
                <wp:wrapNone/>
                <wp:docPr id="3" name="文本框 2"/>
                <wp:cNvGraphicFramePr/>
                <a:graphic xmlns:a="http://schemas.openxmlformats.org/drawingml/2006/main">
                  <a:graphicData uri="http://schemas.microsoft.com/office/word/2010/wordprocessingShape">
                    <wps:wsp>
                      <wps:cNvSpPr txBox="1"/>
                      <wps:spPr>
                        <a:xfrm rot="1920000">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文本框 2" o:spid="_x0000_s1026" o:spt="202" type="#_x0000_t202" style="position:absolute;left:0pt;margin-left:447.15pt;margin-top:15.4pt;height:70.2pt;width:81pt;rotation:2097152f;z-index:251660288;mso-width-relative:page;mso-height-relative:page;" fillcolor="#FFFFFF" filled="t" stroked="f" coordsize="21600,21600" o:gfxdata="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iDlVG3AAAAAsBAAAPAAAAAAAAAAEAIAAAACIA&#10;AABkcnMvZG93bnJldi54bWxQSwECFAAUAAAACACHTuJAH40aw8wBAACFAwAADgAAAAAAAAABACAA&#10;AAArAQAAZHJzL2Uyb0RvYy54bWxQSwUGAAAAAAYABgBZAQAAaQUAAAAA&#10;">
                <v:fill on="t" focussize="0,0"/>
                <v:stroke on="f"/>
                <v:imagedata o:title=""/>
                <o:lock v:ext="edit" aspectratio="f"/>
                <v:textbox>
                  <w:txbxContent>
                    <w:p/>
                  </w:txbxContent>
                </v:textbox>
              </v:shape>
            </w:pict>
          </mc:Fallback>
        </mc:AlternateContent>
      </w: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widowControl/>
        <w:shd w:val="clear" w:color="auto" w:fill="FFFFFF"/>
        <w:spacing w:line="360" w:lineRule="auto"/>
        <w:ind w:firstLine="4480" w:firstLineChars="1600"/>
        <w:jc w:val="left"/>
        <w:rPr>
          <w:rFonts w:hint="eastAsia" w:ascii="仿宋_GB2312" w:eastAsia="仿宋_GB2312"/>
          <w:sz w:val="28"/>
          <w:szCs w:val="28"/>
        </w:rPr>
      </w:pPr>
    </w:p>
    <w:p>
      <w:pPr>
        <w:widowControl/>
        <w:shd w:val="clear" w:color="auto" w:fill="FFFFFF"/>
        <w:spacing w:line="360" w:lineRule="auto"/>
        <w:jc w:val="left"/>
        <w:rPr>
          <w:rFonts w:hint="eastAsia" w:ascii="仿宋_GB2312" w:eastAsia="仿宋_GB2312"/>
          <w:sz w:val="28"/>
          <w:szCs w:val="28"/>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低氟化渣剂（预溶性）</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59264;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jc w:val="left"/>
        <w:rPr>
          <w:rFonts w:hint="eastAsia" w:ascii="宋体" w:hAnsi="宋体" w:cs="宋体"/>
          <w:b/>
          <w:bCs/>
          <w:color w:val="FF0000"/>
          <w:kern w:val="0"/>
          <w:sz w:val="24"/>
          <w:szCs w:val="24"/>
        </w:rPr>
      </w:pPr>
    </w:p>
    <w:p>
      <w:pPr>
        <w:pStyle w:val="2"/>
        <w:rPr>
          <w:rFonts w:hint="eastAsia" w:ascii="宋体" w:hAnsi="宋体" w:cs="宋体"/>
          <w:b/>
          <w:bCs/>
          <w:color w:val="FF0000"/>
          <w:kern w:val="0"/>
          <w:sz w:val="24"/>
          <w:szCs w:val="24"/>
        </w:rPr>
      </w:pPr>
    </w:p>
    <w:p>
      <w:pPr>
        <w:rPr>
          <w:rFonts w:hint="eastAsia" w:ascii="宋体" w:hAnsi="宋体" w:cs="宋体"/>
          <w:b/>
          <w:bCs/>
          <w:color w:val="FF0000"/>
          <w:kern w:val="0"/>
          <w:sz w:val="24"/>
          <w:szCs w:val="24"/>
        </w:rPr>
      </w:pPr>
    </w:p>
    <w:p>
      <w:pPr>
        <w:pStyle w:val="2"/>
        <w:rPr>
          <w:rFonts w:hint="eastAsia"/>
        </w:rPr>
      </w:pPr>
    </w:p>
    <w:p>
      <w:pPr>
        <w:jc w:val="left"/>
        <w:rPr>
          <w:rFonts w:hint="default" w:ascii="宋体" w:hAnsi="宋体" w:cs="宋体"/>
          <w:b/>
          <w:bCs/>
          <w:color w:val="FF0000"/>
          <w:kern w:val="0"/>
          <w:sz w:val="24"/>
          <w:szCs w:val="24"/>
          <w:lang w:val="en-US"/>
        </w:rPr>
      </w:pPr>
      <w:r>
        <w:rPr>
          <w:rFonts w:hint="eastAsia" w:ascii="宋体" w:hAnsi="宋体" w:eastAsia="宋体" w:cs="Times New Roman"/>
          <w:b w:val="0"/>
          <w:bCs/>
          <w:kern w:val="0"/>
          <w:sz w:val="28"/>
          <w:szCs w:val="28"/>
          <w:lang w:val="en-US" w:eastAsia="zh-CN" w:bidi="ar-SA"/>
        </w:rPr>
        <w:t>附件5</w:t>
      </w:r>
      <w:r>
        <w:rPr>
          <w:rFonts w:hint="eastAsia" w:ascii="宋体" w:hAnsi="宋体" w:cs="宋体"/>
          <w:b/>
          <w:bCs/>
          <w:color w:val="FF0000"/>
          <w:kern w:val="0"/>
          <w:sz w:val="24"/>
          <w:szCs w:val="24"/>
          <w:lang w:val="en-US" w:eastAsia="zh-CN"/>
        </w:rPr>
        <w:t xml:space="preserve">  报价表</w:t>
      </w:r>
    </w:p>
    <w:p>
      <w:pPr>
        <w:jc w:val="center"/>
        <w:rPr>
          <w:rFonts w:ascii="宋体" w:hAnsi="宋体"/>
          <w:sz w:val="44"/>
          <w:szCs w:val="44"/>
        </w:rPr>
      </w:pPr>
      <w:r>
        <w:rPr>
          <w:rFonts w:hint="eastAsia" w:ascii="宋体" w:hAnsi="宋体"/>
          <w:sz w:val="44"/>
          <w:szCs w:val="44"/>
        </w:rPr>
        <w:t>报价统一格式</w:t>
      </w:r>
    </w:p>
    <w:tbl>
      <w:tblPr>
        <w:tblStyle w:val="10"/>
        <w:tblW w:w="540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08"/>
        <w:gridCol w:w="1237"/>
        <w:gridCol w:w="4225"/>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82" w:type="pct"/>
            <w:vAlign w:val="center"/>
          </w:tcPr>
          <w:p>
            <w:pPr>
              <w:jc w:val="center"/>
              <w:rPr>
                <w:sz w:val="18"/>
                <w:szCs w:val="18"/>
              </w:rPr>
            </w:pPr>
            <w:r>
              <w:rPr>
                <w:rFonts w:hint="eastAsia"/>
                <w:sz w:val="18"/>
                <w:szCs w:val="18"/>
              </w:rPr>
              <w:t>序号</w:t>
            </w:r>
          </w:p>
        </w:tc>
        <w:tc>
          <w:tcPr>
            <w:tcW w:w="764" w:type="pct"/>
            <w:vAlign w:val="center"/>
          </w:tcPr>
          <w:p>
            <w:pPr>
              <w:jc w:val="center"/>
              <w:rPr>
                <w:sz w:val="18"/>
                <w:szCs w:val="18"/>
              </w:rPr>
            </w:pPr>
            <w:r>
              <w:rPr>
                <w:rFonts w:hint="eastAsia"/>
                <w:sz w:val="18"/>
                <w:szCs w:val="18"/>
              </w:rPr>
              <w:t>物资名称</w:t>
            </w:r>
          </w:p>
        </w:tc>
        <w:tc>
          <w:tcPr>
            <w:tcW w:w="671" w:type="pct"/>
            <w:vAlign w:val="center"/>
          </w:tcPr>
          <w:p>
            <w:pPr>
              <w:jc w:val="center"/>
              <w:rPr>
                <w:sz w:val="18"/>
                <w:szCs w:val="18"/>
              </w:rPr>
            </w:pPr>
            <w:r>
              <w:rPr>
                <w:rFonts w:hint="eastAsia"/>
                <w:sz w:val="18"/>
                <w:szCs w:val="18"/>
              </w:rPr>
              <w:t>理论要求数量</w:t>
            </w:r>
          </w:p>
        </w:tc>
        <w:tc>
          <w:tcPr>
            <w:tcW w:w="2292" w:type="pct"/>
            <w:vAlign w:val="center"/>
          </w:tcPr>
          <w:p>
            <w:pPr>
              <w:jc w:val="center"/>
              <w:rPr>
                <w:sz w:val="18"/>
                <w:szCs w:val="18"/>
              </w:rPr>
            </w:pPr>
            <w:r>
              <w:rPr>
                <w:rFonts w:hint="eastAsia"/>
                <w:sz w:val="18"/>
                <w:szCs w:val="18"/>
              </w:rPr>
              <w:t>含税、含运费报价（元/吨）</w:t>
            </w:r>
          </w:p>
        </w:tc>
        <w:tc>
          <w:tcPr>
            <w:tcW w:w="889" w:type="pct"/>
            <w:vAlign w:val="center"/>
          </w:tcPr>
          <w:p>
            <w:pPr>
              <w:jc w:val="center"/>
              <w:rPr>
                <w:sz w:val="18"/>
                <w:szCs w:val="18"/>
              </w:rPr>
            </w:pPr>
            <w:r>
              <w:rPr>
                <w:rFonts w:hint="eastAsia"/>
                <w:sz w:val="18"/>
                <w:szCs w:val="18"/>
              </w:rPr>
              <w:t>供应量（吨</w:t>
            </w:r>
            <w:r>
              <w:rPr>
                <w:rFonts w:hint="eastAsia"/>
                <w:sz w:val="18"/>
                <w:szCs w:val="18"/>
                <w:lang w:val="en-US" w:eastAsia="zh-CN"/>
              </w:rPr>
              <w:t>/月</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382" w:type="pct"/>
            <w:vMerge w:val="restart"/>
            <w:vAlign w:val="center"/>
          </w:tcPr>
          <w:p>
            <w:pPr>
              <w:jc w:val="center"/>
              <w:rPr>
                <w:sz w:val="24"/>
                <w:szCs w:val="24"/>
              </w:rPr>
            </w:pPr>
            <w:r>
              <w:rPr>
                <w:rFonts w:hint="eastAsia"/>
                <w:sz w:val="24"/>
                <w:szCs w:val="24"/>
              </w:rPr>
              <w:t>1</w:t>
            </w:r>
          </w:p>
        </w:tc>
        <w:tc>
          <w:tcPr>
            <w:tcW w:w="764" w:type="pct"/>
            <w:vMerge w:val="restart"/>
            <w:vAlign w:val="center"/>
          </w:tcPr>
          <w:p>
            <w:pPr>
              <w:jc w:val="center"/>
              <w:rPr>
                <w:rFonts w:hint="default" w:ascii="宋体" w:hAnsi="宋体" w:eastAsia="宋体"/>
                <w:b/>
                <w:color w:val="000000"/>
                <w:sz w:val="24"/>
                <w:szCs w:val="24"/>
                <w:u w:val="none"/>
                <w:lang w:val="en-US" w:eastAsia="zh-CN"/>
              </w:rPr>
            </w:pPr>
            <w:r>
              <w:rPr>
                <w:rFonts w:hint="eastAsia" w:ascii="宋体" w:hAnsi="宋体"/>
                <w:b/>
                <w:color w:val="FF0000"/>
                <w:sz w:val="28"/>
                <w:szCs w:val="28"/>
                <w:u w:val="none"/>
                <w:lang w:val="en-US" w:eastAsia="zh-CN"/>
              </w:rPr>
              <w:t>低氟化渣剂（预溶性）</w:t>
            </w:r>
          </w:p>
        </w:tc>
        <w:tc>
          <w:tcPr>
            <w:tcW w:w="671" w:type="pct"/>
            <w:vMerge w:val="restart"/>
            <w:vAlign w:val="center"/>
          </w:tcPr>
          <w:p>
            <w:pPr>
              <w:jc w:val="center"/>
              <w:rPr>
                <w:rFonts w:hint="default" w:eastAsia="宋体"/>
                <w:sz w:val="24"/>
                <w:szCs w:val="24"/>
                <w:lang w:val="en-US" w:eastAsia="zh-CN"/>
              </w:rPr>
            </w:pPr>
            <w:r>
              <w:rPr>
                <w:rFonts w:hint="eastAsia" w:ascii="宋体" w:hAnsi="宋体"/>
                <w:b/>
                <w:color w:val="FF0000"/>
                <w:sz w:val="28"/>
                <w:szCs w:val="28"/>
                <w:lang w:val="en-US" w:eastAsia="zh-CN"/>
              </w:rPr>
              <w:t>约550</w:t>
            </w:r>
            <w:r>
              <w:rPr>
                <w:rFonts w:hint="eastAsia" w:ascii="宋体" w:hAnsi="宋体"/>
                <w:b/>
                <w:color w:val="FF0000"/>
                <w:sz w:val="28"/>
                <w:szCs w:val="28"/>
              </w:rPr>
              <w:t>吨</w:t>
            </w:r>
            <w:r>
              <w:rPr>
                <w:rFonts w:hint="eastAsia" w:ascii="宋体" w:hAnsi="宋体"/>
                <w:b/>
                <w:color w:val="FF0000"/>
                <w:sz w:val="28"/>
                <w:szCs w:val="28"/>
                <w:lang w:val="en-US" w:eastAsia="zh-CN"/>
              </w:rPr>
              <w:t>/月</w:t>
            </w:r>
          </w:p>
        </w:tc>
        <w:tc>
          <w:tcPr>
            <w:tcW w:w="2292" w:type="pct"/>
          </w:tcPr>
          <w:p>
            <w:pPr>
              <w:jc w:val="left"/>
              <w:rPr>
                <w:sz w:val="24"/>
                <w:szCs w:val="24"/>
              </w:rPr>
            </w:pPr>
          </w:p>
          <w:p>
            <w:pPr>
              <w:jc w:val="left"/>
              <w:rPr>
                <w:sz w:val="24"/>
                <w:szCs w:val="24"/>
              </w:rPr>
            </w:pPr>
            <w:r>
              <w:rPr>
                <w:rFonts w:hint="eastAsia"/>
                <w:sz w:val="24"/>
                <w:szCs w:val="24"/>
              </w:rPr>
              <w:t xml:space="preserve">小写：                      </w:t>
            </w:r>
            <w:r>
              <w:rPr>
                <w:rFonts w:hint="eastAsia"/>
                <w:sz w:val="18"/>
                <w:szCs w:val="18"/>
              </w:rPr>
              <w:t>元/吨</w:t>
            </w:r>
          </w:p>
        </w:tc>
        <w:tc>
          <w:tcPr>
            <w:tcW w:w="889" w:type="pct"/>
            <w:vMerge w:val="restart"/>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382" w:type="pct"/>
            <w:vMerge w:val="continue"/>
            <w:vAlign w:val="center"/>
          </w:tcPr>
          <w:p>
            <w:pPr>
              <w:jc w:val="center"/>
              <w:rPr>
                <w:sz w:val="24"/>
                <w:szCs w:val="24"/>
              </w:rPr>
            </w:pPr>
          </w:p>
        </w:tc>
        <w:tc>
          <w:tcPr>
            <w:tcW w:w="764" w:type="pct"/>
            <w:vMerge w:val="continue"/>
            <w:vAlign w:val="center"/>
          </w:tcPr>
          <w:p>
            <w:pPr>
              <w:jc w:val="center"/>
              <w:rPr>
                <w:rFonts w:ascii="宋体" w:hAnsi="宋体"/>
                <w:b/>
                <w:color w:val="000000"/>
                <w:sz w:val="24"/>
                <w:szCs w:val="24"/>
              </w:rPr>
            </w:pPr>
          </w:p>
        </w:tc>
        <w:tc>
          <w:tcPr>
            <w:tcW w:w="671" w:type="pct"/>
            <w:vMerge w:val="continue"/>
            <w:vAlign w:val="center"/>
          </w:tcPr>
          <w:p>
            <w:pPr>
              <w:jc w:val="center"/>
              <w:rPr>
                <w:sz w:val="24"/>
                <w:szCs w:val="24"/>
              </w:rPr>
            </w:pPr>
          </w:p>
        </w:tc>
        <w:tc>
          <w:tcPr>
            <w:tcW w:w="2292" w:type="pct"/>
          </w:tcPr>
          <w:p>
            <w:pPr>
              <w:jc w:val="left"/>
              <w:rPr>
                <w:sz w:val="24"/>
                <w:szCs w:val="24"/>
              </w:rPr>
            </w:pPr>
          </w:p>
          <w:p>
            <w:pPr>
              <w:jc w:val="left"/>
              <w:rPr>
                <w:sz w:val="24"/>
                <w:szCs w:val="24"/>
              </w:rPr>
            </w:pPr>
            <w:r>
              <w:rPr>
                <w:rFonts w:hint="eastAsia"/>
                <w:sz w:val="24"/>
                <w:szCs w:val="24"/>
              </w:rPr>
              <w:t xml:space="preserve">大写：                      </w:t>
            </w:r>
            <w:r>
              <w:rPr>
                <w:rFonts w:hint="eastAsia"/>
                <w:sz w:val="18"/>
                <w:szCs w:val="18"/>
              </w:rPr>
              <w:t>元/吨</w:t>
            </w:r>
          </w:p>
        </w:tc>
        <w:tc>
          <w:tcPr>
            <w:tcW w:w="889" w:type="pct"/>
            <w:vMerge w:val="continue"/>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000" w:type="pct"/>
            <w:gridSpan w:val="5"/>
          </w:tcPr>
          <w:p>
            <w:pPr>
              <w:rPr>
                <w:sz w:val="28"/>
                <w:szCs w:val="28"/>
              </w:rPr>
            </w:pPr>
            <w:r>
              <w:rPr>
                <w:rFonts w:hint="eastAsia"/>
                <w:sz w:val="28"/>
                <w:szCs w:val="28"/>
              </w:rPr>
              <w:t>备注: 以上报价含税、含运费，一票制，税率为13%。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5000" w:type="pct"/>
            <w:gridSpan w:val="5"/>
          </w:tcPr>
          <w:p>
            <w:pPr>
              <w:rPr>
                <w:sz w:val="28"/>
                <w:szCs w:val="28"/>
              </w:rPr>
            </w:pPr>
            <w:r>
              <w:rPr>
                <w:rFonts w:hint="eastAsia"/>
                <w:sz w:val="28"/>
                <w:szCs w:val="28"/>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5000" w:type="pct"/>
            <w:gridSpan w:val="5"/>
          </w:tcPr>
          <w:p>
            <w:pPr>
              <w:rPr>
                <w:sz w:val="28"/>
                <w:szCs w:val="28"/>
              </w:rPr>
            </w:pPr>
            <w:r>
              <w:rPr>
                <w:rFonts w:hint="eastAsia"/>
                <w:sz w:val="28"/>
                <w:szCs w:val="28"/>
              </w:rPr>
              <w:t>投标单位公章及签字：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000" w:type="pct"/>
            <w:gridSpan w:val="5"/>
          </w:tcPr>
          <w:p>
            <w:pPr>
              <w:rPr>
                <w:sz w:val="28"/>
                <w:szCs w:val="28"/>
              </w:rPr>
            </w:pPr>
            <w:r>
              <w:rPr>
                <w:rFonts w:hint="eastAsia"/>
                <w:sz w:val="28"/>
                <w:szCs w:val="28"/>
              </w:rPr>
              <w:t>日期：</w:t>
            </w:r>
          </w:p>
        </w:tc>
      </w:tr>
    </w:tbl>
    <w:p>
      <w:pPr>
        <w:rPr>
          <w:rFonts w:hint="eastAsia"/>
        </w:rPr>
      </w:pPr>
    </w:p>
    <w:p>
      <w:pPr>
        <w:bidi w:val="0"/>
        <w:rPr>
          <w:rFonts w:hint="default"/>
          <w:lang w:val="en-US" w:eastAsia="zh-CN"/>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D3FFC"/>
    <w:multiLevelType w:val="singleLevel"/>
    <w:tmpl w:val="BAAD3FFC"/>
    <w:lvl w:ilvl="0" w:tentative="0">
      <w:start w:val="1"/>
      <w:numFmt w:val="decimal"/>
      <w:suff w:val="nothing"/>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935619"/>
    <w:rsid w:val="01A6379C"/>
    <w:rsid w:val="01BA37EC"/>
    <w:rsid w:val="02F9403D"/>
    <w:rsid w:val="038D2F19"/>
    <w:rsid w:val="0399230F"/>
    <w:rsid w:val="043C4162"/>
    <w:rsid w:val="04823B21"/>
    <w:rsid w:val="04CE3E6C"/>
    <w:rsid w:val="050E6648"/>
    <w:rsid w:val="05324816"/>
    <w:rsid w:val="05325D34"/>
    <w:rsid w:val="05350A6F"/>
    <w:rsid w:val="053B5FB3"/>
    <w:rsid w:val="05C52E89"/>
    <w:rsid w:val="05DE4E53"/>
    <w:rsid w:val="06CB7169"/>
    <w:rsid w:val="07BA48CA"/>
    <w:rsid w:val="0831406E"/>
    <w:rsid w:val="083A4C2B"/>
    <w:rsid w:val="085B58B3"/>
    <w:rsid w:val="08A96692"/>
    <w:rsid w:val="090F2391"/>
    <w:rsid w:val="097B7AE5"/>
    <w:rsid w:val="0AF63A42"/>
    <w:rsid w:val="0B5E1A54"/>
    <w:rsid w:val="0BFF25BD"/>
    <w:rsid w:val="0CBC295F"/>
    <w:rsid w:val="0D2F279C"/>
    <w:rsid w:val="0DF07D84"/>
    <w:rsid w:val="0E497616"/>
    <w:rsid w:val="0E842CB1"/>
    <w:rsid w:val="0F0803D8"/>
    <w:rsid w:val="0F347211"/>
    <w:rsid w:val="10031B51"/>
    <w:rsid w:val="10094A89"/>
    <w:rsid w:val="10CA64E1"/>
    <w:rsid w:val="110928F7"/>
    <w:rsid w:val="11654D47"/>
    <w:rsid w:val="11BA6270"/>
    <w:rsid w:val="135C10D5"/>
    <w:rsid w:val="139F3DA1"/>
    <w:rsid w:val="13D576D7"/>
    <w:rsid w:val="14772C2B"/>
    <w:rsid w:val="14881933"/>
    <w:rsid w:val="14F3071A"/>
    <w:rsid w:val="154D48F1"/>
    <w:rsid w:val="158A4695"/>
    <w:rsid w:val="16541AFE"/>
    <w:rsid w:val="1694444C"/>
    <w:rsid w:val="17131114"/>
    <w:rsid w:val="1724223F"/>
    <w:rsid w:val="17F97F08"/>
    <w:rsid w:val="18560C92"/>
    <w:rsid w:val="18ED4DB4"/>
    <w:rsid w:val="190E09F1"/>
    <w:rsid w:val="19B16948"/>
    <w:rsid w:val="1A8A6D05"/>
    <w:rsid w:val="1AA53F86"/>
    <w:rsid w:val="1B846959"/>
    <w:rsid w:val="1B912201"/>
    <w:rsid w:val="1BB65A49"/>
    <w:rsid w:val="1C430554"/>
    <w:rsid w:val="1CCB1E53"/>
    <w:rsid w:val="1D2E11E1"/>
    <w:rsid w:val="1E8C7D42"/>
    <w:rsid w:val="1E8E57E6"/>
    <w:rsid w:val="1E937D02"/>
    <w:rsid w:val="1F0727C6"/>
    <w:rsid w:val="1F0B69B1"/>
    <w:rsid w:val="1F107E3E"/>
    <w:rsid w:val="1F4242F7"/>
    <w:rsid w:val="1F802445"/>
    <w:rsid w:val="1FF51B5E"/>
    <w:rsid w:val="202B640C"/>
    <w:rsid w:val="205026F2"/>
    <w:rsid w:val="205B3F9B"/>
    <w:rsid w:val="20AF2F52"/>
    <w:rsid w:val="21133B37"/>
    <w:rsid w:val="21534F77"/>
    <w:rsid w:val="21A2160C"/>
    <w:rsid w:val="21E966E6"/>
    <w:rsid w:val="224B04E8"/>
    <w:rsid w:val="22B96773"/>
    <w:rsid w:val="22E00851"/>
    <w:rsid w:val="235C23EB"/>
    <w:rsid w:val="23CB766B"/>
    <w:rsid w:val="23CE57C2"/>
    <w:rsid w:val="23D22DCD"/>
    <w:rsid w:val="246A25A2"/>
    <w:rsid w:val="25206CD2"/>
    <w:rsid w:val="25230E4D"/>
    <w:rsid w:val="25466F1F"/>
    <w:rsid w:val="258E0AE8"/>
    <w:rsid w:val="25B129B0"/>
    <w:rsid w:val="268D7081"/>
    <w:rsid w:val="26F50CB1"/>
    <w:rsid w:val="26F906B4"/>
    <w:rsid w:val="278055FF"/>
    <w:rsid w:val="288D3DC5"/>
    <w:rsid w:val="28B030F4"/>
    <w:rsid w:val="28E2171B"/>
    <w:rsid w:val="29401D6D"/>
    <w:rsid w:val="2BBB5AD5"/>
    <w:rsid w:val="2BF10F3E"/>
    <w:rsid w:val="2BF40243"/>
    <w:rsid w:val="2BFD06EE"/>
    <w:rsid w:val="2C204052"/>
    <w:rsid w:val="2C4E01C4"/>
    <w:rsid w:val="2CF31D5E"/>
    <w:rsid w:val="2E3D1B0F"/>
    <w:rsid w:val="2EA431DB"/>
    <w:rsid w:val="2EDD294B"/>
    <w:rsid w:val="2F163A70"/>
    <w:rsid w:val="302E15AB"/>
    <w:rsid w:val="3036622A"/>
    <w:rsid w:val="30474844"/>
    <w:rsid w:val="30CA3841"/>
    <w:rsid w:val="3130279D"/>
    <w:rsid w:val="313649C9"/>
    <w:rsid w:val="31DF7B93"/>
    <w:rsid w:val="324F62A8"/>
    <w:rsid w:val="32E00DA4"/>
    <w:rsid w:val="32F7522E"/>
    <w:rsid w:val="339D246B"/>
    <w:rsid w:val="342060A8"/>
    <w:rsid w:val="34BB556C"/>
    <w:rsid w:val="35212328"/>
    <w:rsid w:val="358603F2"/>
    <w:rsid w:val="36A65EF8"/>
    <w:rsid w:val="36FB2C59"/>
    <w:rsid w:val="373827F1"/>
    <w:rsid w:val="378C21EF"/>
    <w:rsid w:val="379345D1"/>
    <w:rsid w:val="37974BFF"/>
    <w:rsid w:val="37BE23C2"/>
    <w:rsid w:val="37F02022"/>
    <w:rsid w:val="37F27DC4"/>
    <w:rsid w:val="37FA0AD6"/>
    <w:rsid w:val="383E2980"/>
    <w:rsid w:val="384A1E85"/>
    <w:rsid w:val="387F2F2C"/>
    <w:rsid w:val="3A3F65BD"/>
    <w:rsid w:val="3A773720"/>
    <w:rsid w:val="3AFC391A"/>
    <w:rsid w:val="3B14535E"/>
    <w:rsid w:val="3C036E6F"/>
    <w:rsid w:val="3C3E683E"/>
    <w:rsid w:val="3C456A69"/>
    <w:rsid w:val="3C487023"/>
    <w:rsid w:val="3C887586"/>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A706B0"/>
    <w:rsid w:val="41BF02F4"/>
    <w:rsid w:val="422E1FDF"/>
    <w:rsid w:val="423C71D1"/>
    <w:rsid w:val="426213B7"/>
    <w:rsid w:val="42CE1EFE"/>
    <w:rsid w:val="435C1211"/>
    <w:rsid w:val="43DE4636"/>
    <w:rsid w:val="44106AE0"/>
    <w:rsid w:val="44367FF1"/>
    <w:rsid w:val="4500284B"/>
    <w:rsid w:val="45407B03"/>
    <w:rsid w:val="45C004AA"/>
    <w:rsid w:val="46587D68"/>
    <w:rsid w:val="46CC5915"/>
    <w:rsid w:val="47847BD9"/>
    <w:rsid w:val="47AD4330"/>
    <w:rsid w:val="48582775"/>
    <w:rsid w:val="48836EA0"/>
    <w:rsid w:val="48C72F43"/>
    <w:rsid w:val="48E1049E"/>
    <w:rsid w:val="49056F4D"/>
    <w:rsid w:val="49280B38"/>
    <w:rsid w:val="492C5B3D"/>
    <w:rsid w:val="49A4783E"/>
    <w:rsid w:val="4A603B29"/>
    <w:rsid w:val="4A790DED"/>
    <w:rsid w:val="4A85340F"/>
    <w:rsid w:val="4ACE7F4F"/>
    <w:rsid w:val="4AED65F2"/>
    <w:rsid w:val="4B635392"/>
    <w:rsid w:val="4BA21255"/>
    <w:rsid w:val="4DC66F68"/>
    <w:rsid w:val="510A2956"/>
    <w:rsid w:val="514F2EE0"/>
    <w:rsid w:val="51A458AF"/>
    <w:rsid w:val="527F49C8"/>
    <w:rsid w:val="52E54E97"/>
    <w:rsid w:val="52EE0AE7"/>
    <w:rsid w:val="536967A8"/>
    <w:rsid w:val="53AB6FFE"/>
    <w:rsid w:val="5403556E"/>
    <w:rsid w:val="54664C18"/>
    <w:rsid w:val="554C057B"/>
    <w:rsid w:val="56065626"/>
    <w:rsid w:val="562E1D47"/>
    <w:rsid w:val="566E6D8E"/>
    <w:rsid w:val="56B606CC"/>
    <w:rsid w:val="56FF0A43"/>
    <w:rsid w:val="57AC75B3"/>
    <w:rsid w:val="57D705F2"/>
    <w:rsid w:val="57EA4190"/>
    <w:rsid w:val="59677D4F"/>
    <w:rsid w:val="598A03E4"/>
    <w:rsid w:val="59A57A14"/>
    <w:rsid w:val="5AAF6E02"/>
    <w:rsid w:val="5AEA3AD0"/>
    <w:rsid w:val="5B1D2529"/>
    <w:rsid w:val="5B35349E"/>
    <w:rsid w:val="5B3F7D83"/>
    <w:rsid w:val="5B527398"/>
    <w:rsid w:val="5BA959B9"/>
    <w:rsid w:val="5CC70FAC"/>
    <w:rsid w:val="5D173705"/>
    <w:rsid w:val="5D1B4B8A"/>
    <w:rsid w:val="5D915ACD"/>
    <w:rsid w:val="5E093F5D"/>
    <w:rsid w:val="5E611270"/>
    <w:rsid w:val="5EB2026E"/>
    <w:rsid w:val="5FA30C9C"/>
    <w:rsid w:val="5FE13E30"/>
    <w:rsid w:val="60883A59"/>
    <w:rsid w:val="61033D16"/>
    <w:rsid w:val="623E76D0"/>
    <w:rsid w:val="625B24D7"/>
    <w:rsid w:val="62CD795C"/>
    <w:rsid w:val="6438579B"/>
    <w:rsid w:val="655749FB"/>
    <w:rsid w:val="65E5671A"/>
    <w:rsid w:val="66EA0C9A"/>
    <w:rsid w:val="66FB3BC1"/>
    <w:rsid w:val="67023348"/>
    <w:rsid w:val="6753255C"/>
    <w:rsid w:val="678F7868"/>
    <w:rsid w:val="686F59C5"/>
    <w:rsid w:val="68985C4A"/>
    <w:rsid w:val="68BB275A"/>
    <w:rsid w:val="695E0A51"/>
    <w:rsid w:val="6AE713EB"/>
    <w:rsid w:val="6B015D37"/>
    <w:rsid w:val="6B8D7C67"/>
    <w:rsid w:val="6B9014C7"/>
    <w:rsid w:val="6C7B13C4"/>
    <w:rsid w:val="6C7F53F5"/>
    <w:rsid w:val="6CA73029"/>
    <w:rsid w:val="6CB25A7F"/>
    <w:rsid w:val="6D027CD6"/>
    <w:rsid w:val="6DD71BCE"/>
    <w:rsid w:val="6E3164EF"/>
    <w:rsid w:val="6E550ED4"/>
    <w:rsid w:val="6EA5652C"/>
    <w:rsid w:val="6ECD772E"/>
    <w:rsid w:val="6ED71557"/>
    <w:rsid w:val="6F0C38CA"/>
    <w:rsid w:val="6F6774FE"/>
    <w:rsid w:val="70243E6C"/>
    <w:rsid w:val="706A3FF6"/>
    <w:rsid w:val="70737BDA"/>
    <w:rsid w:val="70D03715"/>
    <w:rsid w:val="70E0155E"/>
    <w:rsid w:val="711219DD"/>
    <w:rsid w:val="713C5670"/>
    <w:rsid w:val="719201E7"/>
    <w:rsid w:val="71F96DCA"/>
    <w:rsid w:val="72107C5B"/>
    <w:rsid w:val="732D2693"/>
    <w:rsid w:val="73476175"/>
    <w:rsid w:val="7357254E"/>
    <w:rsid w:val="73611393"/>
    <w:rsid w:val="7431112D"/>
    <w:rsid w:val="749D6575"/>
    <w:rsid w:val="754F1E1A"/>
    <w:rsid w:val="761859F6"/>
    <w:rsid w:val="76206BC5"/>
    <w:rsid w:val="770E210B"/>
    <w:rsid w:val="773210D8"/>
    <w:rsid w:val="77846985"/>
    <w:rsid w:val="778A5616"/>
    <w:rsid w:val="77F80B55"/>
    <w:rsid w:val="780E1C86"/>
    <w:rsid w:val="78184195"/>
    <w:rsid w:val="784D0939"/>
    <w:rsid w:val="78C639C7"/>
    <w:rsid w:val="78E1515C"/>
    <w:rsid w:val="790731F3"/>
    <w:rsid w:val="790756AF"/>
    <w:rsid w:val="7949658A"/>
    <w:rsid w:val="797A02ED"/>
    <w:rsid w:val="79B23223"/>
    <w:rsid w:val="79DE1204"/>
    <w:rsid w:val="7A447EB1"/>
    <w:rsid w:val="7A6263B1"/>
    <w:rsid w:val="7A757773"/>
    <w:rsid w:val="7ADF17B7"/>
    <w:rsid w:val="7AEB0EA5"/>
    <w:rsid w:val="7AF9718A"/>
    <w:rsid w:val="7B386B42"/>
    <w:rsid w:val="7BBC102F"/>
    <w:rsid w:val="7BD509C2"/>
    <w:rsid w:val="7BDC0741"/>
    <w:rsid w:val="7C070CDC"/>
    <w:rsid w:val="7C9625E2"/>
    <w:rsid w:val="7D0716F9"/>
    <w:rsid w:val="7D2A47F3"/>
    <w:rsid w:val="7DBA6C81"/>
    <w:rsid w:val="7F3F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0</TotalTime>
  <ScaleCrop>false</ScaleCrop>
  <LinksUpToDate>false</LinksUpToDate>
  <CharactersWithSpaces>5037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2021-07-20T06:18:58Z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453E5B5609E442AFA1DE49CA80052D1B</vt:lpwstr>
  </property>
</Properties>
</file>