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铁前部烧结散料斗耐磨内衬更换</w:t>
      </w:r>
    </w:p>
    <w:p>
      <w:pPr>
        <w:jc w:val="center"/>
        <w:rPr>
          <w:color w:val="000000"/>
          <w:sz w:val="44"/>
          <w:szCs w:val="44"/>
        </w:rPr>
      </w:pPr>
      <w:bookmarkStart w:id="0" w:name="_GoBack"/>
      <w:bookmarkEnd w:id="0"/>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rPr>
        <w:t>月</w:t>
      </w:r>
      <w:r>
        <w:rPr>
          <w:rFonts w:hint="eastAsia"/>
          <w:color w:val="000000"/>
          <w:sz w:val="24"/>
          <w:szCs w:val="24"/>
          <w:u w:val="single"/>
          <w:lang w:val="en-US" w:eastAsia="zh-CN"/>
        </w:rPr>
        <w:t>23</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TQSC</w:t>
      </w:r>
      <w:r>
        <w:rPr>
          <w:rFonts w:hint="eastAsia" w:ascii="宋体" w:hAnsi="宋体"/>
          <w:u w:val="single"/>
          <w:lang w:val="en-US" w:eastAsia="zh-CN"/>
        </w:rPr>
        <w:t>202108005SJSLDNMNCGH</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铁前部烧结散料斗耐磨内衬更换</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13955388390</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bCs/>
          <w:sz w:val="24"/>
          <w:szCs w:val="24"/>
          <w:u w:val="single"/>
          <w:lang w:val="en-US" w:eastAsia="zh-CN"/>
        </w:rPr>
        <w:t>30</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8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3</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14:00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贰万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sz w:val="24"/>
          <w:szCs w:val="24"/>
          <w:lang w:val="en-US" w:eastAsia="zh-CN"/>
        </w:rPr>
        <w:t>30</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color w:val="FF0000"/>
          <w:sz w:val="24"/>
          <w:szCs w:val="24"/>
          <w:lang w:val="en-US" w:eastAsia="zh-CN"/>
        </w:rPr>
      </w:pPr>
      <w:r>
        <w:rPr>
          <w:rFonts w:hint="eastAsia" w:ascii="宋体" w:hAnsi="宋体"/>
          <w:color w:val="FF0000"/>
          <w:sz w:val="24"/>
          <w:szCs w:val="24"/>
          <w:lang w:val="en-US" w:eastAsia="zh-CN"/>
        </w:rPr>
        <w:t>3.标书需要胶装。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color w:val="FF0000"/>
          <w:sz w:val="28"/>
          <w:szCs w:val="28"/>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w:t>
      </w:r>
      <w:r>
        <w:rPr>
          <w:rFonts w:hint="eastAsia" w:ascii="宋体" w:hAnsi="宋体"/>
          <w:sz w:val="24"/>
          <w:szCs w:val="24"/>
        </w:rPr>
        <w:t>0分,质量：</w:t>
      </w:r>
      <w:r>
        <w:rPr>
          <w:rFonts w:hint="eastAsia" w:ascii="宋体" w:hAnsi="宋体"/>
          <w:sz w:val="24"/>
          <w:szCs w:val="24"/>
          <w:lang w:val="en-US" w:eastAsia="zh-CN"/>
        </w:rPr>
        <w:t>4</w:t>
      </w:r>
      <w:r>
        <w:rPr>
          <w:rFonts w:hint="eastAsia" w:ascii="宋体" w:hAnsi="宋体"/>
          <w:sz w:val="24"/>
          <w:szCs w:val="24"/>
        </w:rPr>
        <w:t>0分,资质、装备及工艺技术水平、业绩状况：10分,服务、工期及资金状况：10分。</w:t>
      </w:r>
    </w:p>
    <w:p>
      <w:pPr>
        <w:rPr>
          <w:b/>
        </w:rPr>
      </w:pPr>
    </w:p>
    <w:p>
      <w:pPr>
        <w:numPr>
          <w:ilvl w:val="0"/>
          <w:numId w:val="7"/>
        </w:numPr>
        <w:rPr>
          <w:b/>
          <w:sz w:val="24"/>
          <w:szCs w:val="24"/>
        </w:rPr>
      </w:pPr>
      <w:r>
        <w:rPr>
          <w:rFonts w:hint="eastAsia"/>
          <w:b/>
          <w:sz w:val="24"/>
          <w:szCs w:val="24"/>
        </w:rPr>
        <w:t>其他要求</w:t>
      </w:r>
    </w:p>
    <w:p>
      <w:pPr>
        <w:numPr>
          <w:ilvl w:val="0"/>
          <w:numId w:val="8"/>
        </w:numPr>
        <w:spacing w:line="360" w:lineRule="auto"/>
        <w:ind w:left="-62"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施工面积合计约2500平米，烧结一期约1300平米，烧结二期约1200平米，施工单位必须在烧结一期、二期停产检修期间完成施工；喷涂料理化指标、施工内容、验收要求详见技术协议。</w:t>
      </w:r>
    </w:p>
    <w:p>
      <w:pPr>
        <w:numPr>
          <w:ilvl w:val="0"/>
          <w:numId w:val="8"/>
        </w:numPr>
        <w:spacing w:line="360" w:lineRule="auto"/>
        <w:ind w:left="-62"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此项目为包工包料的形式，施工方负责旧耐磨衬板的拆除、新衬板的安装和废旧耐材的处理，处理符合国家环保政策。</w:t>
      </w:r>
    </w:p>
    <w:p>
      <w:pPr>
        <w:numPr>
          <w:ilvl w:val="0"/>
          <w:numId w:val="8"/>
        </w:numPr>
        <w:spacing w:line="360" w:lineRule="auto"/>
        <w:ind w:left="-62"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提供2019年至今1份及以上耐磨内衬更换业绩。</w:t>
      </w:r>
    </w:p>
    <w:p>
      <w:pPr>
        <w:numPr>
          <w:ilvl w:val="0"/>
          <w:numId w:val="8"/>
        </w:numPr>
        <w:spacing w:line="360" w:lineRule="auto"/>
        <w:ind w:left="-62" w:leftChars="0" w:firstLine="482" w:firstLine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投标保证金缴纳2万元，中标单位进厂施工前按公司要求缴纳60万安全保障金，施工完成后退还。</w:t>
      </w:r>
    </w:p>
    <w:p>
      <w:pPr>
        <w:numPr>
          <w:ilvl w:val="0"/>
          <w:numId w:val="8"/>
        </w:numPr>
        <w:spacing w:line="360" w:lineRule="auto"/>
        <w:ind w:left="-62" w:leftChars="0" w:firstLine="482" w:firstLineChars="0"/>
        <w:rPr>
          <w:rFonts w:hint="default" w:ascii="宋体" w:hAnsi="宋体"/>
          <w:b/>
          <w:color w:val="FF0000"/>
          <w:sz w:val="24"/>
          <w:szCs w:val="24"/>
          <w:lang w:val="en-US" w:eastAsia="zh-CN"/>
        </w:rPr>
      </w:pPr>
      <w:r>
        <w:rPr>
          <w:rFonts w:hint="eastAsia" w:ascii="宋体" w:hAnsi="宋体"/>
          <w:b/>
          <w:color w:val="FF0000"/>
          <w:sz w:val="24"/>
          <w:szCs w:val="24"/>
          <w:lang w:val="en-US" w:eastAsia="zh-CN"/>
        </w:rPr>
        <w:t>报价要求含税、含运费，一票制。详见附件报价格式表格。</w:t>
      </w: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numPr>
          <w:ilvl w:val="0"/>
          <w:numId w:val="0"/>
        </w:numPr>
        <w:spacing w:line="360" w:lineRule="auto"/>
        <w:ind w:firstLine="964" w:firstLineChars="400"/>
        <w:rPr>
          <w:rFonts w:hint="eastAsia" w:ascii="宋体" w:hAnsi="宋体"/>
          <w:b/>
          <w:color w:val="FF0000"/>
          <w:sz w:val="24"/>
          <w:szCs w:val="24"/>
        </w:rPr>
      </w:pPr>
    </w:p>
    <w:p>
      <w:pPr>
        <w:jc w:val="both"/>
        <w:rPr>
          <w:b/>
          <w:sz w:val="24"/>
          <w:szCs w:val="24"/>
        </w:rPr>
      </w:pPr>
    </w:p>
    <w:p>
      <w:pPr>
        <w:pStyle w:val="2"/>
        <w:rPr>
          <w:b/>
          <w:sz w:val="24"/>
          <w:szCs w:val="24"/>
        </w:rPr>
      </w:pPr>
    </w:p>
    <w:p/>
    <w:p>
      <w:pPr>
        <w:jc w:val="both"/>
        <w:rPr>
          <w:b/>
          <w:sz w:val="24"/>
          <w:szCs w:val="24"/>
        </w:rPr>
      </w:pPr>
    </w:p>
    <w:p>
      <w:pPr>
        <w:jc w:val="both"/>
        <w:rPr>
          <w:b/>
          <w:sz w:val="24"/>
          <w:szCs w:val="24"/>
        </w:rPr>
      </w:pPr>
    </w:p>
    <w:p>
      <w:pPr>
        <w:pStyle w:val="2"/>
        <w:rPr>
          <w:b/>
          <w:sz w:val="24"/>
          <w:szCs w:val="24"/>
        </w:rPr>
      </w:pPr>
    </w:p>
    <w:p>
      <w:pPr>
        <w:rPr>
          <w:b/>
          <w:sz w:val="24"/>
          <w:szCs w:val="24"/>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Theme="minorEastAsia" w:hAnsiTheme="minorEastAsia" w:eastAsiaTheme="minorEastAsia"/>
          <w:color w:val="000000"/>
          <w:sz w:val="28"/>
          <w:szCs w:val="28"/>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b/>
        </w:rPr>
        <mc:AlternateContent>
          <mc:Choice Requires="wps">
            <w:drawing>
              <wp:anchor distT="0" distB="0" distL="114300" distR="114300" simplePos="0" relativeHeight="251660288" behindDoc="0" locked="0" layoutInCell="1" allowOverlap="1">
                <wp:simplePos x="0" y="0"/>
                <wp:positionH relativeFrom="column">
                  <wp:posOffset>5678805</wp:posOffset>
                </wp:positionH>
                <wp:positionV relativeFrom="paragraph">
                  <wp:posOffset>195580</wp:posOffset>
                </wp:positionV>
                <wp:extent cx="1028700" cy="891540"/>
                <wp:effectExtent l="158115" t="205105" r="165735" b="217805"/>
                <wp:wrapNone/>
                <wp:docPr id="3" name="文本框 2"/>
                <wp:cNvGraphicFramePr/>
                <a:graphic xmlns:a="http://schemas.openxmlformats.org/drawingml/2006/main">
                  <a:graphicData uri="http://schemas.microsoft.com/office/word/2010/wordprocessingShape">
                    <wps:wsp>
                      <wps:cNvSpPr txBox="1"/>
                      <wps:spPr>
                        <a:xfrm rot="1920000">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447.15pt;margin-top:15.4pt;height:70.2pt;width:81pt;rotation:2097152f;z-index:251660288;mso-width-relative:page;mso-height-relative:page;" fillcolor="#FFFFFF" filled="t" stroked="f" coordsize="21600,21600" o:gfxdata="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DlVG3AAAAAsBAAAPAAAAAAAAAAEAIAAAACIA&#10;AABkcnMvZG93bnJldi54bWxQSwECFAAUAAAACACHTuJAH40aw8wBAACFAwAADgAAAAAAAAABACAA&#10;AAArAQAAZHJzL2Uyb0RvYy54bWxQSwUGAAAAAAYABgBZAQAAaQUAAAAA&#10;">
                <v:fill on="t" focussize="0,0"/>
                <v:stroke on="f"/>
                <v:imagedata o:title=""/>
                <o:lock v:ext="edit" aspectratio="f"/>
                <v:textbox>
                  <w:txbxContent>
                    <w:p/>
                  </w:txbxContent>
                </v:textbox>
              </v:shape>
            </w:pict>
          </mc:Fallback>
        </mc:AlternateContent>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widowControl/>
        <w:shd w:val="clear" w:color="auto" w:fill="FFFFFF"/>
        <w:spacing w:line="360" w:lineRule="auto"/>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铁前部烧结散料斗耐磨内衬更换</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045"/>
        <w:gridCol w:w="476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40" w:type="pct"/>
            <w:noWrap w:val="0"/>
            <w:vAlign w:val="center"/>
          </w:tcPr>
          <w:p>
            <w:pPr>
              <w:jc w:val="center"/>
              <w:rPr>
                <w:rFonts w:hint="eastAsia"/>
                <w:sz w:val="18"/>
                <w:szCs w:val="18"/>
              </w:rPr>
            </w:pPr>
            <w:r>
              <w:rPr>
                <w:rFonts w:hint="eastAsia"/>
                <w:sz w:val="18"/>
                <w:szCs w:val="18"/>
              </w:rPr>
              <w:t>序号</w:t>
            </w:r>
          </w:p>
        </w:tc>
        <w:tc>
          <w:tcPr>
            <w:tcW w:w="1149" w:type="pct"/>
            <w:noWrap w:val="0"/>
            <w:vAlign w:val="center"/>
          </w:tcPr>
          <w:p>
            <w:pPr>
              <w:jc w:val="center"/>
              <w:rPr>
                <w:sz w:val="18"/>
                <w:szCs w:val="18"/>
              </w:rPr>
            </w:pPr>
            <w:r>
              <w:rPr>
                <w:rFonts w:hint="eastAsia"/>
                <w:sz w:val="18"/>
                <w:szCs w:val="18"/>
              </w:rPr>
              <w:t>物资名称</w:t>
            </w:r>
          </w:p>
          <w:p>
            <w:pPr>
              <w:jc w:val="center"/>
              <w:rPr>
                <w:rFonts w:hint="eastAsia"/>
                <w:sz w:val="18"/>
                <w:szCs w:val="18"/>
              </w:rPr>
            </w:pPr>
            <w:r>
              <w:rPr>
                <w:rFonts w:hint="eastAsia"/>
                <w:sz w:val="18"/>
                <w:szCs w:val="18"/>
              </w:rPr>
              <w:t xml:space="preserve"> </w:t>
            </w:r>
          </w:p>
        </w:tc>
        <w:tc>
          <w:tcPr>
            <w:tcW w:w="2676" w:type="pct"/>
            <w:noWrap w:val="0"/>
            <w:vAlign w:val="center"/>
          </w:tcPr>
          <w:p>
            <w:pPr>
              <w:jc w:val="center"/>
              <w:rPr>
                <w:rFonts w:hint="eastAsia" w:eastAsia="宋体"/>
                <w:sz w:val="18"/>
                <w:szCs w:val="18"/>
                <w:lang w:eastAsia="zh-CN"/>
              </w:rPr>
            </w:pPr>
            <w:r>
              <w:rPr>
                <w:rFonts w:hint="eastAsia"/>
                <w:sz w:val="18"/>
                <w:szCs w:val="18"/>
              </w:rPr>
              <w:t>含税、含运费报价</w:t>
            </w:r>
            <w:r>
              <w:rPr>
                <w:rFonts w:hint="eastAsia"/>
                <w:sz w:val="18"/>
                <w:szCs w:val="18"/>
                <w:lang w:eastAsia="zh-CN"/>
              </w:rPr>
              <w:t>（</w:t>
            </w:r>
            <w:r>
              <w:rPr>
                <w:rFonts w:hint="eastAsia"/>
                <w:sz w:val="18"/>
                <w:szCs w:val="18"/>
              </w:rPr>
              <w:t>元/</w:t>
            </w:r>
            <w:r>
              <w:rPr>
                <w:rFonts w:hint="eastAsia"/>
                <w:sz w:val="18"/>
                <w:szCs w:val="18"/>
                <w:lang w:val="en-US" w:eastAsia="zh-CN"/>
              </w:rPr>
              <w:t>㎡</w:t>
            </w:r>
            <w:r>
              <w:rPr>
                <w:rFonts w:hint="eastAsia"/>
                <w:sz w:val="18"/>
                <w:szCs w:val="18"/>
                <w:lang w:eastAsia="zh-CN"/>
              </w:rPr>
              <w:t>）</w:t>
            </w:r>
          </w:p>
        </w:tc>
        <w:tc>
          <w:tcPr>
            <w:tcW w:w="833" w:type="pct"/>
            <w:noWrap w:val="0"/>
            <w:vAlign w:val="center"/>
          </w:tcPr>
          <w:p>
            <w:pPr>
              <w:jc w:val="center"/>
              <w:rPr>
                <w:rFonts w:hint="eastAsia"/>
                <w:sz w:val="18"/>
                <w:szCs w:val="18"/>
              </w:rPr>
            </w:pPr>
            <w:r>
              <w:rPr>
                <w:rFonts w:hint="eastAsia" w:ascii="宋体" w:hAnsi="宋体"/>
                <w:b/>
                <w:color w:val="FF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40" w:type="pct"/>
            <w:vMerge w:val="restart"/>
            <w:noWrap w:val="0"/>
            <w:vAlign w:val="center"/>
          </w:tcPr>
          <w:p>
            <w:pPr>
              <w:jc w:val="center"/>
              <w:rPr>
                <w:sz w:val="24"/>
                <w:szCs w:val="24"/>
              </w:rPr>
            </w:pPr>
            <w:r>
              <w:rPr>
                <w:rFonts w:hint="eastAsia"/>
                <w:sz w:val="24"/>
                <w:szCs w:val="24"/>
              </w:rPr>
              <w:t>1</w:t>
            </w:r>
          </w:p>
        </w:tc>
        <w:tc>
          <w:tcPr>
            <w:tcW w:w="1149" w:type="pct"/>
            <w:vMerge w:val="restart"/>
            <w:noWrap w:val="0"/>
            <w:vAlign w:val="center"/>
          </w:tcPr>
          <w:p>
            <w:pPr>
              <w:spacing w:line="400" w:lineRule="exact"/>
              <w:jc w:val="center"/>
              <w:rPr>
                <w:rFonts w:hint="eastAsia" w:ascii="宋体" w:hAnsi="宋体"/>
                <w:b/>
                <w:color w:val="000000"/>
                <w:sz w:val="24"/>
                <w:szCs w:val="24"/>
              </w:rPr>
            </w:pPr>
            <w:r>
              <w:rPr>
                <w:rFonts w:hint="eastAsia" w:ascii="宋体" w:hAnsi="宋体"/>
                <w:b/>
                <w:color w:val="FF0000"/>
                <w:sz w:val="28"/>
                <w:szCs w:val="28"/>
                <w:u w:val="none"/>
                <w:lang w:val="en-US" w:eastAsia="zh-CN"/>
              </w:rPr>
              <w:t>铁前部烧结散料斗耐磨内衬更换</w:t>
            </w:r>
          </w:p>
        </w:tc>
        <w:tc>
          <w:tcPr>
            <w:tcW w:w="2676" w:type="pct"/>
            <w:noWrap w:val="0"/>
            <w:vAlign w:val="top"/>
          </w:tcPr>
          <w:p>
            <w:pPr>
              <w:jc w:val="left"/>
              <w:rPr>
                <w:rFonts w:hint="eastAsia"/>
                <w:sz w:val="24"/>
                <w:szCs w:val="24"/>
              </w:rPr>
            </w:pPr>
          </w:p>
          <w:p>
            <w:pPr>
              <w:jc w:val="left"/>
              <w:rPr>
                <w:rFonts w:hint="default" w:eastAsia="宋体"/>
                <w:sz w:val="24"/>
                <w:szCs w:val="24"/>
                <w:lang w:val="en-US" w:eastAsia="zh-CN"/>
              </w:rPr>
            </w:pPr>
            <w:r>
              <w:rPr>
                <w:rFonts w:hint="eastAsia"/>
                <w:sz w:val="24"/>
                <w:szCs w:val="24"/>
              </w:rPr>
              <w:t>小写：</w:t>
            </w:r>
            <w:r>
              <w:rPr>
                <w:rFonts w:hint="eastAsia"/>
                <w:sz w:val="24"/>
                <w:szCs w:val="24"/>
                <w:lang w:val="en-US" w:eastAsia="zh-CN"/>
              </w:rPr>
              <w:t xml:space="preserve">                       </w:t>
            </w:r>
            <w:r>
              <w:rPr>
                <w:rFonts w:hint="eastAsia"/>
                <w:sz w:val="18"/>
                <w:szCs w:val="18"/>
              </w:rPr>
              <w:t>元/</w:t>
            </w:r>
            <w:r>
              <w:rPr>
                <w:rFonts w:hint="eastAsia"/>
                <w:sz w:val="18"/>
                <w:szCs w:val="18"/>
                <w:lang w:val="en-US" w:eastAsia="zh-CN"/>
              </w:rPr>
              <w:t>㎡</w:t>
            </w:r>
          </w:p>
        </w:tc>
        <w:tc>
          <w:tcPr>
            <w:tcW w:w="833" w:type="pct"/>
            <w:vMerge w:val="restart"/>
            <w:noWrap w:val="0"/>
            <w:vAlign w:val="top"/>
          </w:tcPr>
          <w:p>
            <w:pPr>
              <w:spacing w:line="400" w:lineRule="exact"/>
              <w:rPr>
                <w:rFonts w:hint="eastAsia" w:ascii="宋体" w:hAnsi="宋体"/>
                <w:b/>
                <w:color w:val="FF0000"/>
                <w:sz w:val="28"/>
                <w:szCs w:val="28"/>
              </w:rPr>
            </w:pPr>
          </w:p>
          <w:p>
            <w:pPr>
              <w:spacing w:line="400" w:lineRule="exact"/>
              <w:rPr>
                <w:rFonts w:hint="eastAsia" w:ascii="宋体" w:hAnsi="宋体"/>
                <w:b/>
                <w:color w:val="FF0000"/>
                <w:sz w:val="28"/>
                <w:szCs w:val="28"/>
              </w:rPr>
            </w:pPr>
            <w:r>
              <w:rPr>
                <w:rFonts w:hint="eastAsia" w:ascii="宋体" w:hAnsi="宋体"/>
                <w:b/>
                <w:color w:val="FF0000"/>
                <w:sz w:val="28"/>
                <w:szCs w:val="28"/>
              </w:rPr>
              <w:t>包工包料含税、含运费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340" w:type="pct"/>
            <w:vMerge w:val="continue"/>
            <w:noWrap w:val="0"/>
            <w:vAlign w:val="center"/>
          </w:tcPr>
          <w:p>
            <w:pPr>
              <w:jc w:val="center"/>
              <w:rPr>
                <w:rFonts w:hint="eastAsia"/>
                <w:sz w:val="24"/>
                <w:szCs w:val="24"/>
              </w:rPr>
            </w:pPr>
          </w:p>
        </w:tc>
        <w:tc>
          <w:tcPr>
            <w:tcW w:w="1149" w:type="pct"/>
            <w:vMerge w:val="continue"/>
            <w:noWrap w:val="0"/>
            <w:vAlign w:val="center"/>
          </w:tcPr>
          <w:p>
            <w:pPr>
              <w:jc w:val="center"/>
              <w:rPr>
                <w:rFonts w:hint="eastAsia"/>
                <w:sz w:val="24"/>
                <w:szCs w:val="24"/>
              </w:rPr>
            </w:pPr>
          </w:p>
        </w:tc>
        <w:tc>
          <w:tcPr>
            <w:tcW w:w="2676" w:type="pct"/>
            <w:noWrap w:val="0"/>
            <w:vAlign w:val="top"/>
          </w:tcPr>
          <w:p>
            <w:pPr>
              <w:jc w:val="left"/>
              <w:rPr>
                <w:rFonts w:hint="eastAsia"/>
                <w:sz w:val="24"/>
                <w:szCs w:val="24"/>
              </w:rPr>
            </w:pPr>
          </w:p>
          <w:p>
            <w:pPr>
              <w:jc w:val="left"/>
              <w:rPr>
                <w:rFonts w:hint="default" w:eastAsia="宋体"/>
                <w:sz w:val="24"/>
                <w:szCs w:val="24"/>
                <w:lang w:val="en-US" w:eastAsia="zh-CN"/>
              </w:rPr>
            </w:pPr>
            <w:r>
              <w:rPr>
                <w:rFonts w:hint="eastAsia"/>
                <w:sz w:val="24"/>
                <w:szCs w:val="24"/>
              </w:rPr>
              <w:t>大写：</w:t>
            </w:r>
            <w:r>
              <w:rPr>
                <w:rFonts w:hint="eastAsia"/>
                <w:sz w:val="24"/>
                <w:szCs w:val="24"/>
                <w:lang w:val="en-US" w:eastAsia="zh-CN"/>
              </w:rPr>
              <w:t xml:space="preserve">                       </w:t>
            </w:r>
            <w:r>
              <w:rPr>
                <w:rFonts w:hint="eastAsia"/>
                <w:sz w:val="18"/>
                <w:szCs w:val="18"/>
              </w:rPr>
              <w:t>元/</w:t>
            </w:r>
            <w:r>
              <w:rPr>
                <w:rFonts w:hint="eastAsia"/>
                <w:sz w:val="18"/>
                <w:szCs w:val="18"/>
                <w:lang w:val="en-US" w:eastAsia="zh-CN"/>
              </w:rPr>
              <w:t>㎡</w:t>
            </w:r>
          </w:p>
        </w:tc>
        <w:tc>
          <w:tcPr>
            <w:tcW w:w="833"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000" w:type="pct"/>
            <w:gridSpan w:val="4"/>
            <w:noWrap w:val="0"/>
            <w:vAlign w:val="top"/>
          </w:tcPr>
          <w:p>
            <w:pPr>
              <w:rPr>
                <w:rFonts w:hint="eastAsia"/>
                <w:sz w:val="28"/>
                <w:szCs w:val="28"/>
              </w:rPr>
            </w:pPr>
            <w:r>
              <w:rPr>
                <w:rFonts w:hint="eastAsia"/>
                <w:sz w:val="28"/>
                <w:szCs w:val="28"/>
              </w:rPr>
              <w:t>备注: 以上报价含</w:t>
            </w:r>
            <w:r>
              <w:rPr>
                <w:rFonts w:hint="eastAsia"/>
                <w:sz w:val="28"/>
                <w:szCs w:val="28"/>
                <w:lang w:val="en-US" w:eastAsia="zh-CN"/>
              </w:rPr>
              <w:t>13%</w:t>
            </w:r>
            <w:r>
              <w:rPr>
                <w:rFonts w:hint="eastAsia"/>
                <w:sz w:val="28"/>
                <w:szCs w:val="28"/>
              </w:rPr>
              <w:t>税、含运费，一票制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5000" w:type="pct"/>
            <w:gridSpan w:val="4"/>
            <w:noWrap w:val="0"/>
            <w:vAlign w:val="top"/>
          </w:tcPr>
          <w:p>
            <w:pPr>
              <w:rPr>
                <w:rFonts w:hint="eastAsia"/>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000" w:type="pct"/>
            <w:gridSpan w:val="4"/>
            <w:noWrap w:val="0"/>
            <w:vAlign w:val="top"/>
          </w:tcPr>
          <w:p>
            <w:pPr>
              <w:rPr>
                <w:rFonts w:hint="eastAsia"/>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000" w:type="pct"/>
            <w:gridSpan w:val="4"/>
            <w:noWrap w:val="0"/>
            <w:vAlign w:val="top"/>
          </w:tcPr>
          <w:p>
            <w:pPr>
              <w:rPr>
                <w:rFonts w:hint="eastAsia"/>
                <w:sz w:val="28"/>
                <w:szCs w:val="28"/>
              </w:rPr>
            </w:pPr>
            <w:r>
              <w:rPr>
                <w:rFonts w:hint="eastAsia"/>
                <w:sz w:val="28"/>
                <w:szCs w:val="28"/>
              </w:rPr>
              <w:t>日期：</w:t>
            </w:r>
          </w:p>
        </w:tc>
      </w:tr>
    </w:tbl>
    <w:p>
      <w:pPr>
        <w:rPr>
          <w:rFonts w:hint="eastAsia"/>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3FFC"/>
    <w:multiLevelType w:val="singleLevel"/>
    <w:tmpl w:val="BAAD3FFC"/>
    <w:lvl w:ilvl="0" w:tentative="0">
      <w:start w:val="1"/>
      <w:numFmt w:val="decimal"/>
      <w:suff w:val="nothing"/>
      <w:lvlText w:val="%1、"/>
      <w:lvlJc w:val="left"/>
      <w:pPr>
        <w:ind w:left="-62"/>
      </w:pPr>
      <w:rPr>
        <w:rFonts w:hint="default"/>
        <w:b/>
        <w:bCs/>
        <w:color w:val="FF0000"/>
      </w:rPr>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E4E53"/>
    <w:rsid w:val="06CB7169"/>
    <w:rsid w:val="07BA48CA"/>
    <w:rsid w:val="0831406E"/>
    <w:rsid w:val="083A4C2B"/>
    <w:rsid w:val="085B58B3"/>
    <w:rsid w:val="08A96692"/>
    <w:rsid w:val="090F2391"/>
    <w:rsid w:val="097B7AE5"/>
    <w:rsid w:val="0AF63A42"/>
    <w:rsid w:val="0B5E1A54"/>
    <w:rsid w:val="0BFF25BD"/>
    <w:rsid w:val="0CBC295F"/>
    <w:rsid w:val="0D2F279C"/>
    <w:rsid w:val="0DCC0A80"/>
    <w:rsid w:val="0DF07D84"/>
    <w:rsid w:val="0E497616"/>
    <w:rsid w:val="0E842CB1"/>
    <w:rsid w:val="0F0803D8"/>
    <w:rsid w:val="0F347211"/>
    <w:rsid w:val="0FA76F34"/>
    <w:rsid w:val="10031B51"/>
    <w:rsid w:val="10094A89"/>
    <w:rsid w:val="10CA64E1"/>
    <w:rsid w:val="110928F7"/>
    <w:rsid w:val="11654D47"/>
    <w:rsid w:val="11BA6270"/>
    <w:rsid w:val="12623A3F"/>
    <w:rsid w:val="135C10D5"/>
    <w:rsid w:val="139F3DA1"/>
    <w:rsid w:val="13D576D7"/>
    <w:rsid w:val="14772C2B"/>
    <w:rsid w:val="14881933"/>
    <w:rsid w:val="14F3071A"/>
    <w:rsid w:val="154D48F1"/>
    <w:rsid w:val="158A4695"/>
    <w:rsid w:val="16541AFE"/>
    <w:rsid w:val="1694444C"/>
    <w:rsid w:val="16F544DC"/>
    <w:rsid w:val="17131114"/>
    <w:rsid w:val="1724223F"/>
    <w:rsid w:val="17F97F08"/>
    <w:rsid w:val="18560C92"/>
    <w:rsid w:val="18ED4DB4"/>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4242F7"/>
    <w:rsid w:val="1F802445"/>
    <w:rsid w:val="1FF51B5E"/>
    <w:rsid w:val="202B640C"/>
    <w:rsid w:val="205026F2"/>
    <w:rsid w:val="205B3F9B"/>
    <w:rsid w:val="20AF2F52"/>
    <w:rsid w:val="21133B37"/>
    <w:rsid w:val="21534F77"/>
    <w:rsid w:val="21A2160C"/>
    <w:rsid w:val="21E966E6"/>
    <w:rsid w:val="224B04E8"/>
    <w:rsid w:val="22B96773"/>
    <w:rsid w:val="22E00851"/>
    <w:rsid w:val="235C23EB"/>
    <w:rsid w:val="23CB766B"/>
    <w:rsid w:val="23CE57C2"/>
    <w:rsid w:val="23D22DCD"/>
    <w:rsid w:val="246A25A2"/>
    <w:rsid w:val="25206CD2"/>
    <w:rsid w:val="25230E4D"/>
    <w:rsid w:val="25466F1F"/>
    <w:rsid w:val="258E0AE8"/>
    <w:rsid w:val="25B129B0"/>
    <w:rsid w:val="268D7081"/>
    <w:rsid w:val="26F50CB1"/>
    <w:rsid w:val="26F906B4"/>
    <w:rsid w:val="278055FF"/>
    <w:rsid w:val="288D3DC5"/>
    <w:rsid w:val="28A22ADC"/>
    <w:rsid w:val="28B030F4"/>
    <w:rsid w:val="28E2171B"/>
    <w:rsid w:val="29401D6D"/>
    <w:rsid w:val="2BBB5AD5"/>
    <w:rsid w:val="2BF10F3E"/>
    <w:rsid w:val="2BF40243"/>
    <w:rsid w:val="2BFD06EE"/>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42060A8"/>
    <w:rsid w:val="34BB556C"/>
    <w:rsid w:val="35212328"/>
    <w:rsid w:val="358603F2"/>
    <w:rsid w:val="36A65EF8"/>
    <w:rsid w:val="36A93A55"/>
    <w:rsid w:val="36FB2C59"/>
    <w:rsid w:val="373827F1"/>
    <w:rsid w:val="376E3416"/>
    <w:rsid w:val="378C21EF"/>
    <w:rsid w:val="379345D1"/>
    <w:rsid w:val="37974BFF"/>
    <w:rsid w:val="37BE23C2"/>
    <w:rsid w:val="37F02022"/>
    <w:rsid w:val="37F27DC4"/>
    <w:rsid w:val="37FA0AD6"/>
    <w:rsid w:val="383E2980"/>
    <w:rsid w:val="384A1E85"/>
    <w:rsid w:val="387F2F2C"/>
    <w:rsid w:val="3A3F65BD"/>
    <w:rsid w:val="3A773720"/>
    <w:rsid w:val="3AB9612A"/>
    <w:rsid w:val="3AFC391A"/>
    <w:rsid w:val="3B14535E"/>
    <w:rsid w:val="3C036E6F"/>
    <w:rsid w:val="3C3E683E"/>
    <w:rsid w:val="3C456A69"/>
    <w:rsid w:val="3C487023"/>
    <w:rsid w:val="3C887586"/>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6213B7"/>
    <w:rsid w:val="42CE1EFE"/>
    <w:rsid w:val="435C1211"/>
    <w:rsid w:val="43DE4636"/>
    <w:rsid w:val="44106AE0"/>
    <w:rsid w:val="44367FF1"/>
    <w:rsid w:val="4500284B"/>
    <w:rsid w:val="45407B03"/>
    <w:rsid w:val="45C004AA"/>
    <w:rsid w:val="46587D68"/>
    <w:rsid w:val="46CC5915"/>
    <w:rsid w:val="47847BD9"/>
    <w:rsid w:val="47AD4330"/>
    <w:rsid w:val="480A05A9"/>
    <w:rsid w:val="48254A41"/>
    <w:rsid w:val="48582775"/>
    <w:rsid w:val="48836EA0"/>
    <w:rsid w:val="48C72F43"/>
    <w:rsid w:val="48E1049E"/>
    <w:rsid w:val="49056F4D"/>
    <w:rsid w:val="49280B38"/>
    <w:rsid w:val="492C5B3D"/>
    <w:rsid w:val="49A4783E"/>
    <w:rsid w:val="4A3D281C"/>
    <w:rsid w:val="4A603B29"/>
    <w:rsid w:val="4A790DED"/>
    <w:rsid w:val="4A85340F"/>
    <w:rsid w:val="4ACE7F4F"/>
    <w:rsid w:val="4AED65F2"/>
    <w:rsid w:val="4B635392"/>
    <w:rsid w:val="4BA21255"/>
    <w:rsid w:val="4BAA769E"/>
    <w:rsid w:val="4DC66F68"/>
    <w:rsid w:val="4E091027"/>
    <w:rsid w:val="510A2956"/>
    <w:rsid w:val="514F2EE0"/>
    <w:rsid w:val="51A458AF"/>
    <w:rsid w:val="51CD60D0"/>
    <w:rsid w:val="527F49C8"/>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9677D4F"/>
    <w:rsid w:val="598A03E4"/>
    <w:rsid w:val="59A57A14"/>
    <w:rsid w:val="5AAF6E02"/>
    <w:rsid w:val="5AEA3AD0"/>
    <w:rsid w:val="5B1D2529"/>
    <w:rsid w:val="5B35349E"/>
    <w:rsid w:val="5B3F7D83"/>
    <w:rsid w:val="5B527398"/>
    <w:rsid w:val="5BA959B9"/>
    <w:rsid w:val="5C2447C0"/>
    <w:rsid w:val="5CC70FAC"/>
    <w:rsid w:val="5D173705"/>
    <w:rsid w:val="5D1B4B8A"/>
    <w:rsid w:val="5D915ACD"/>
    <w:rsid w:val="5E093F5D"/>
    <w:rsid w:val="5E14032D"/>
    <w:rsid w:val="5E611270"/>
    <w:rsid w:val="5EB2026E"/>
    <w:rsid w:val="5FA30C9C"/>
    <w:rsid w:val="5FE13E30"/>
    <w:rsid w:val="60883A59"/>
    <w:rsid w:val="60A608A8"/>
    <w:rsid w:val="61033D16"/>
    <w:rsid w:val="623E76D0"/>
    <w:rsid w:val="625B24D7"/>
    <w:rsid w:val="62CD795C"/>
    <w:rsid w:val="6438579B"/>
    <w:rsid w:val="655749FB"/>
    <w:rsid w:val="65E5671A"/>
    <w:rsid w:val="66EA0C9A"/>
    <w:rsid w:val="66FB3BC1"/>
    <w:rsid w:val="67023348"/>
    <w:rsid w:val="6753255C"/>
    <w:rsid w:val="678F7868"/>
    <w:rsid w:val="686F59C5"/>
    <w:rsid w:val="68985C4A"/>
    <w:rsid w:val="68BB275A"/>
    <w:rsid w:val="695E0A51"/>
    <w:rsid w:val="6AE713EB"/>
    <w:rsid w:val="6B015D37"/>
    <w:rsid w:val="6B8D7C67"/>
    <w:rsid w:val="6B9014C7"/>
    <w:rsid w:val="6C7B13C4"/>
    <w:rsid w:val="6C7F53F5"/>
    <w:rsid w:val="6CA73029"/>
    <w:rsid w:val="6CB25A7F"/>
    <w:rsid w:val="6D027CD6"/>
    <w:rsid w:val="6DD71BCE"/>
    <w:rsid w:val="6E3164EF"/>
    <w:rsid w:val="6E550ED4"/>
    <w:rsid w:val="6EA5652C"/>
    <w:rsid w:val="6ECD772E"/>
    <w:rsid w:val="6ED71557"/>
    <w:rsid w:val="6F0C38CA"/>
    <w:rsid w:val="6F6774FE"/>
    <w:rsid w:val="70243E6C"/>
    <w:rsid w:val="706A3FF6"/>
    <w:rsid w:val="70737BDA"/>
    <w:rsid w:val="70D03715"/>
    <w:rsid w:val="70E0155E"/>
    <w:rsid w:val="711219DD"/>
    <w:rsid w:val="713C5670"/>
    <w:rsid w:val="719201E7"/>
    <w:rsid w:val="71F96DCA"/>
    <w:rsid w:val="72107C5B"/>
    <w:rsid w:val="732D2693"/>
    <w:rsid w:val="73476175"/>
    <w:rsid w:val="7357254E"/>
    <w:rsid w:val="73611393"/>
    <w:rsid w:val="7431112D"/>
    <w:rsid w:val="749D6575"/>
    <w:rsid w:val="754F1E1A"/>
    <w:rsid w:val="761859F6"/>
    <w:rsid w:val="76206BC5"/>
    <w:rsid w:val="76EB3FE1"/>
    <w:rsid w:val="770E210B"/>
    <w:rsid w:val="772D76F7"/>
    <w:rsid w:val="773210D8"/>
    <w:rsid w:val="77846985"/>
    <w:rsid w:val="778A5616"/>
    <w:rsid w:val="77F80B55"/>
    <w:rsid w:val="780E1C86"/>
    <w:rsid w:val="78184195"/>
    <w:rsid w:val="784D0939"/>
    <w:rsid w:val="78C639C7"/>
    <w:rsid w:val="78E1515C"/>
    <w:rsid w:val="790731F3"/>
    <w:rsid w:val="790756AF"/>
    <w:rsid w:val="7949658A"/>
    <w:rsid w:val="797A02ED"/>
    <w:rsid w:val="79B23223"/>
    <w:rsid w:val="79DE1204"/>
    <w:rsid w:val="7A447EB1"/>
    <w:rsid w:val="7A6263B1"/>
    <w:rsid w:val="7A757773"/>
    <w:rsid w:val="7ADF17B7"/>
    <w:rsid w:val="7AEB0EA5"/>
    <w:rsid w:val="7AF9718A"/>
    <w:rsid w:val="7B386B42"/>
    <w:rsid w:val="7B5C145D"/>
    <w:rsid w:val="7BB57665"/>
    <w:rsid w:val="7BBC102F"/>
    <w:rsid w:val="7BD509C2"/>
    <w:rsid w:val="7BDC0741"/>
    <w:rsid w:val="7C070CDC"/>
    <w:rsid w:val="7C9625E2"/>
    <w:rsid w:val="7D0716F9"/>
    <w:rsid w:val="7D2A47F3"/>
    <w:rsid w:val="7DBA6C81"/>
    <w:rsid w:val="7F3F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15</TotalTime>
  <ScaleCrop>false</ScaleCrop>
  <LinksUpToDate>false</LinksUpToDate>
  <CharactersWithSpaces>5037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2021-07-23T06:23:56Z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453E5B5609E442AFA1DE49CA80052D1B</vt:lpwstr>
  </property>
</Properties>
</file>