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低氟化渣剂（预溶性）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低氟化渣剂（预溶性）招标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行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C447A1C"/>
    <w:rsid w:val="0F702D24"/>
    <w:rsid w:val="118349D6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B14776E"/>
    <w:rsid w:val="2CBB1FC9"/>
    <w:rsid w:val="2F993F90"/>
    <w:rsid w:val="2FA67CEB"/>
    <w:rsid w:val="31887B19"/>
    <w:rsid w:val="37363390"/>
    <w:rsid w:val="39FF2AE0"/>
    <w:rsid w:val="3A7C4573"/>
    <w:rsid w:val="3AB07796"/>
    <w:rsid w:val="3C9D2067"/>
    <w:rsid w:val="3CF209A9"/>
    <w:rsid w:val="3D282C6F"/>
    <w:rsid w:val="3E3867CA"/>
    <w:rsid w:val="3EA446DC"/>
    <w:rsid w:val="44437A38"/>
    <w:rsid w:val="44DE5299"/>
    <w:rsid w:val="455A29EA"/>
    <w:rsid w:val="457C2688"/>
    <w:rsid w:val="47181EB4"/>
    <w:rsid w:val="49FA277D"/>
    <w:rsid w:val="4D0B5AC5"/>
    <w:rsid w:val="4D9242B8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81510C3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2021-07-28T08:31:41Z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DB75BCE3127D403C9160F82758EAA341</vt:lpwstr>
  </property>
</Properties>
</file>