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芜湖新兴铸管有限责任公司</w:t>
      </w:r>
    </w:p>
    <w:p>
      <w:pPr>
        <w:spacing w:after="0" w:line="360" w:lineRule="auto"/>
        <w:jc w:val="both"/>
        <w:rPr>
          <w:rFonts w:ascii="宋体" w:hAnsi="宋体" w:eastAsia="宋体" w:cs="宋体"/>
          <w:b/>
          <w:bCs/>
          <w:color w:val="auto"/>
          <w:sz w:val="52"/>
          <w:szCs w:val="52"/>
          <w:highlight w:val="none"/>
        </w:rPr>
      </w:pPr>
    </w:p>
    <w:p>
      <w:pPr>
        <w:spacing w:after="0" w:line="360" w:lineRule="auto"/>
        <w:jc w:val="center"/>
        <w:rPr>
          <w:rFonts w:hint="eastAsia" w:ascii="宋体" w:hAnsi="宋体" w:eastAsia="宋体"/>
          <w:b/>
          <w:color w:val="auto"/>
          <w:sz w:val="48"/>
          <w:szCs w:val="48"/>
          <w:highlight w:val="none"/>
          <w:lang w:eastAsia="zh-CN"/>
        </w:rPr>
      </w:pPr>
      <w:r>
        <w:rPr>
          <w:rFonts w:hint="eastAsia" w:ascii="宋体" w:hAnsi="宋体" w:eastAsia="宋体"/>
          <w:b/>
          <w:color w:val="auto"/>
          <w:sz w:val="48"/>
          <w:szCs w:val="48"/>
          <w:highlight w:val="none"/>
        </w:rPr>
        <w:t>DN600-DN1200铸管外壁</w:t>
      </w:r>
      <w:r>
        <w:rPr>
          <w:rFonts w:hint="eastAsia" w:ascii="宋体" w:hAnsi="宋体" w:eastAsia="宋体"/>
          <w:b/>
          <w:color w:val="auto"/>
          <w:sz w:val="48"/>
          <w:szCs w:val="48"/>
          <w:highlight w:val="none"/>
          <w:lang w:eastAsia="zh-CN"/>
        </w:rPr>
        <w:t>龟裂</w:t>
      </w:r>
    </w:p>
    <w:p>
      <w:pPr>
        <w:spacing w:after="0" w:line="360" w:lineRule="auto"/>
        <w:jc w:val="center"/>
        <w:rPr>
          <w:rFonts w:ascii="宋体" w:hAnsi="宋体" w:eastAsia="宋体"/>
          <w:b/>
          <w:bCs/>
          <w:color w:val="auto"/>
          <w:sz w:val="48"/>
          <w:szCs w:val="48"/>
          <w:highlight w:val="none"/>
        </w:rPr>
      </w:pPr>
      <w:r>
        <w:rPr>
          <w:rFonts w:hint="eastAsia" w:ascii="宋体" w:hAnsi="宋体" w:eastAsia="宋体"/>
          <w:b/>
          <w:color w:val="auto"/>
          <w:sz w:val="48"/>
          <w:szCs w:val="48"/>
          <w:highlight w:val="none"/>
        </w:rPr>
        <w:t>打磨装置</w:t>
      </w:r>
    </w:p>
    <w:p>
      <w:pPr>
        <w:spacing w:after="0" w:line="360" w:lineRule="auto"/>
        <w:jc w:val="center"/>
        <w:rPr>
          <w:rFonts w:ascii="宋体" w:hAnsi="宋体" w:eastAsia="宋体" w:cs="宋体"/>
          <w:b/>
          <w:bCs/>
          <w:color w:val="auto"/>
          <w:sz w:val="48"/>
          <w:szCs w:val="48"/>
          <w:highlight w:val="none"/>
        </w:rPr>
      </w:pPr>
    </w:p>
    <w:p>
      <w:pPr>
        <w:spacing w:after="0" w:line="360" w:lineRule="auto"/>
        <w:jc w:val="center"/>
        <w:rPr>
          <w:rFonts w:ascii="宋体" w:hAnsi="宋体" w:eastAsia="宋体" w:cs="宋体"/>
          <w:b/>
          <w:bCs/>
          <w:color w:val="auto"/>
          <w:sz w:val="48"/>
          <w:szCs w:val="48"/>
          <w:highlight w:val="none"/>
        </w:rPr>
      </w:pPr>
    </w:p>
    <w:p>
      <w:pPr>
        <w:spacing w:after="0" w:line="360" w:lineRule="auto"/>
        <w:jc w:val="center"/>
        <w:rPr>
          <w:rFonts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技</w:t>
      </w:r>
    </w:p>
    <w:p>
      <w:pPr>
        <w:spacing w:after="0" w:line="360" w:lineRule="auto"/>
        <w:jc w:val="center"/>
        <w:rPr>
          <w:rFonts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术</w:t>
      </w:r>
    </w:p>
    <w:p>
      <w:pPr>
        <w:spacing w:after="0" w:line="360" w:lineRule="auto"/>
        <w:jc w:val="center"/>
        <w:rPr>
          <w:rFonts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规</w:t>
      </w:r>
    </w:p>
    <w:p>
      <w:pPr>
        <w:spacing w:after="0" w:line="360" w:lineRule="auto"/>
        <w:jc w:val="center"/>
        <w:rPr>
          <w:rFonts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格</w:t>
      </w:r>
    </w:p>
    <w:p>
      <w:pPr>
        <w:spacing w:after="0" w:line="360" w:lineRule="auto"/>
        <w:jc w:val="center"/>
        <w:rPr>
          <w:rFonts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书</w:t>
      </w:r>
    </w:p>
    <w:p>
      <w:pPr>
        <w:spacing w:after="0" w:line="360" w:lineRule="auto"/>
        <w:rPr>
          <w:rFonts w:ascii="宋体" w:hAnsi="宋体" w:eastAsia="宋体" w:cs="宋体"/>
          <w:b/>
          <w:bCs/>
          <w:color w:val="auto"/>
          <w:sz w:val="52"/>
          <w:szCs w:val="52"/>
          <w:highlight w:val="none"/>
        </w:rPr>
      </w:pPr>
    </w:p>
    <w:p>
      <w:pPr>
        <w:spacing w:after="0" w:line="360" w:lineRule="auto"/>
        <w:rPr>
          <w:rFonts w:ascii="宋体" w:hAnsi="宋体" w:eastAsia="宋体" w:cs="宋体"/>
          <w:b/>
          <w:bCs/>
          <w:color w:val="auto"/>
          <w:sz w:val="52"/>
          <w:szCs w:val="52"/>
          <w:highlight w:val="none"/>
        </w:rPr>
      </w:pPr>
    </w:p>
    <w:p>
      <w:pPr>
        <w:rPr>
          <w:color w:val="auto"/>
          <w:highlight w:val="none"/>
        </w:rPr>
      </w:pPr>
    </w:p>
    <w:p>
      <w:pPr>
        <w:spacing w:after="0" w:line="360" w:lineRule="auto"/>
        <w:ind w:left="-220" w:leftChar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编制：     审核：     会签：     项目负责：     批准</w:t>
      </w:r>
      <w:bookmarkStart w:id="0" w:name="OLE_LINK3"/>
      <w:bookmarkEnd w:id="0"/>
      <w:bookmarkStart w:id="1" w:name="OLE_LINK2"/>
      <w:bookmarkEnd w:id="1"/>
      <w:bookmarkStart w:id="2" w:name="OLE_LINK1"/>
      <w:bookmarkEnd w:id="2"/>
      <w:r>
        <w:rPr>
          <w:rFonts w:hint="eastAsia" w:ascii="宋体" w:hAnsi="宋体" w:eastAsia="宋体" w:cs="宋体"/>
          <w:b/>
          <w:bCs/>
          <w:color w:val="auto"/>
          <w:sz w:val="32"/>
          <w:szCs w:val="32"/>
          <w:highlight w:val="none"/>
        </w:rPr>
        <w:t>:</w:t>
      </w:r>
    </w:p>
    <w:p>
      <w:pPr>
        <w:widowControl w:val="0"/>
        <w:numPr>
          <w:ilvl w:val="0"/>
          <w:numId w:val="1"/>
        </w:numPr>
        <w:adjustRightInd/>
        <w:snapToGrid/>
        <w:spacing w:beforeLines="50" w:after="0" w:line="360" w:lineRule="auto"/>
        <w:jc w:val="both"/>
        <w:rPr>
          <w:rFonts w:ascii="宋体" w:hAnsi="宋体" w:eastAsia="宋体" w:cs="宋体"/>
          <w:b/>
          <w:bCs/>
          <w:color w:val="auto"/>
          <w:sz w:val="24"/>
          <w:highlight w:val="none"/>
        </w:rPr>
        <w:sectPr>
          <w:pgSz w:w="11906" w:h="16838"/>
          <w:pgMar w:top="1440" w:right="1800" w:bottom="1440" w:left="1800" w:header="708" w:footer="708" w:gutter="0"/>
          <w:pgNumType w:fmt="decimal"/>
          <w:cols w:space="708" w:num="1"/>
          <w:docGrid w:linePitch="360" w:charSpace="0"/>
        </w:sectPr>
      </w:pPr>
    </w:p>
    <w:p>
      <w:pPr>
        <w:widowControl w:val="0"/>
        <w:numPr>
          <w:ilvl w:val="0"/>
          <w:numId w:val="1"/>
        </w:numPr>
        <w:adjustRightInd/>
        <w:snapToGrid/>
        <w:spacing w:beforeLines="50"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总则</w:t>
      </w:r>
    </w:p>
    <w:p>
      <w:pPr>
        <w:pStyle w:val="9"/>
        <w:numPr>
          <w:ilvl w:val="1"/>
          <w:numId w:val="1"/>
        </w:numPr>
        <w:tabs>
          <w:tab w:val="left" w:pos="525"/>
        </w:tabs>
        <w:spacing w:before="0" w:line="360" w:lineRule="auto"/>
        <w:jc w:val="left"/>
        <w:rPr>
          <w:rFonts w:ascii="宋体" w:hAnsi="宋体" w:cs="宋体"/>
          <w:color w:val="auto"/>
          <w:kern w:val="2"/>
          <w:highlight w:val="none"/>
        </w:rPr>
      </w:pPr>
      <w:r>
        <w:rPr>
          <w:rFonts w:hint="eastAsia" w:ascii="宋体" w:hAnsi="宋体" w:cs="宋体"/>
          <w:color w:val="auto"/>
          <w:kern w:val="2"/>
          <w:highlight w:val="none"/>
        </w:rPr>
        <w:t>本技术文件适用于芜湖新兴铸管有限责任公司DN600-DN1200铸管外壁</w:t>
      </w:r>
      <w:r>
        <w:rPr>
          <w:rFonts w:hint="eastAsia" w:ascii="宋体" w:hAnsi="宋体" w:cs="宋体"/>
          <w:color w:val="auto"/>
          <w:kern w:val="2"/>
          <w:highlight w:val="none"/>
          <w:lang w:eastAsia="zh-CN"/>
        </w:rPr>
        <w:t>龟裂</w:t>
      </w:r>
      <w:r>
        <w:rPr>
          <w:rFonts w:hint="eastAsia" w:ascii="宋体" w:hAnsi="宋体" w:cs="宋体"/>
          <w:color w:val="auto"/>
          <w:kern w:val="2"/>
          <w:highlight w:val="none"/>
        </w:rPr>
        <w:t>打磨装置项目。</w:t>
      </w:r>
    </w:p>
    <w:p>
      <w:pPr>
        <w:pStyle w:val="9"/>
        <w:numPr>
          <w:ilvl w:val="1"/>
          <w:numId w:val="1"/>
        </w:numPr>
        <w:tabs>
          <w:tab w:val="left" w:pos="525"/>
        </w:tabs>
        <w:spacing w:before="0" w:line="360" w:lineRule="auto"/>
        <w:jc w:val="left"/>
        <w:rPr>
          <w:rFonts w:ascii="宋体" w:hAnsi="宋体" w:cs="宋体"/>
          <w:color w:val="auto"/>
          <w:kern w:val="2"/>
          <w:highlight w:val="none"/>
        </w:rPr>
      </w:pPr>
      <w:r>
        <w:rPr>
          <w:rFonts w:hint="eastAsia" w:ascii="宋体" w:hAnsi="宋体" w:cs="宋体"/>
          <w:color w:val="auto"/>
          <w:kern w:val="2"/>
          <w:highlight w:val="none"/>
        </w:rPr>
        <w:t>本技术文件提出了芜湖新兴铸管有限责任公司DN600-DN1200铸管外壁</w:t>
      </w:r>
      <w:r>
        <w:rPr>
          <w:rFonts w:hint="eastAsia" w:ascii="宋体" w:hAnsi="宋体" w:cs="宋体"/>
          <w:color w:val="auto"/>
          <w:kern w:val="2"/>
          <w:highlight w:val="none"/>
          <w:lang w:eastAsia="zh-CN"/>
        </w:rPr>
        <w:t>龟裂</w:t>
      </w:r>
      <w:r>
        <w:rPr>
          <w:rFonts w:hint="eastAsia" w:ascii="宋体" w:hAnsi="宋体" w:cs="宋体"/>
          <w:color w:val="auto"/>
          <w:kern w:val="2"/>
          <w:highlight w:val="none"/>
        </w:rPr>
        <w:t>打磨</w:t>
      </w:r>
      <w:r>
        <w:rPr>
          <w:rFonts w:hint="eastAsia" w:ascii="宋体" w:hAnsi="宋体" w:cs="宋体"/>
          <w:color w:val="auto"/>
          <w:kern w:val="2"/>
          <w:highlight w:val="none"/>
          <w:lang w:eastAsia="zh-CN"/>
        </w:rPr>
        <w:t>装置</w:t>
      </w:r>
      <w:r>
        <w:rPr>
          <w:rFonts w:hint="eastAsia" w:ascii="宋体" w:hAnsi="宋体" w:cs="宋体"/>
          <w:color w:val="auto"/>
          <w:kern w:val="2"/>
          <w:highlight w:val="none"/>
        </w:rPr>
        <w:t>项目的相关技术要求。设备的供货、指导安装、调试等方面工作均由投标方完成。</w:t>
      </w:r>
      <w:r>
        <w:rPr>
          <w:rFonts w:hint="eastAsia" w:ascii="宋体" w:hAnsi="宋体"/>
          <w:bCs/>
          <w:color w:val="auto"/>
          <w:highlight w:val="none"/>
        </w:rPr>
        <w:t>本项目为设备改造项目，文中所述工艺方案仅供参考，投标方在开标前需充分了解和勘察招标方的现场情况，根据现场实际情况提出更优方案。</w:t>
      </w:r>
    </w:p>
    <w:p>
      <w:pPr>
        <w:pStyle w:val="9"/>
        <w:numPr>
          <w:ilvl w:val="1"/>
          <w:numId w:val="1"/>
        </w:numPr>
        <w:tabs>
          <w:tab w:val="left" w:pos="525"/>
        </w:tabs>
        <w:spacing w:before="0" w:line="360" w:lineRule="auto"/>
        <w:jc w:val="left"/>
        <w:rPr>
          <w:rFonts w:ascii="宋体" w:hAnsi="宋体" w:cs="宋体"/>
          <w:color w:val="auto"/>
          <w:kern w:val="2"/>
          <w:highlight w:val="none"/>
        </w:rPr>
      </w:pPr>
      <w:r>
        <w:rPr>
          <w:rFonts w:hint="eastAsia" w:ascii="宋体" w:hAnsi="宋体" w:cs="宋体"/>
          <w:color w:val="auto"/>
          <w:kern w:val="2"/>
          <w:highlight w:val="none"/>
        </w:rPr>
        <w:t>本技术文提出的是最低限度的技术要求，并未对一切技术细节作出规定，也未充分引述有关标准和规范的条文，投标方应提供符合本技术文件和有关工业标准的优质产品。对国家有关安全、环保等强制性标准，必须满足其要求</w:t>
      </w:r>
      <w:r>
        <w:rPr>
          <w:rFonts w:hint="eastAsia" w:ascii="宋体" w:hAnsi="宋体" w:cs="宋体"/>
          <w:color w:val="auto"/>
          <w:kern w:val="2"/>
          <w:highlight w:val="none"/>
          <w:lang w:val="en-US" w:eastAsia="zh-CN"/>
        </w:rPr>
        <w:t>.</w:t>
      </w:r>
    </w:p>
    <w:p>
      <w:pPr>
        <w:pStyle w:val="9"/>
        <w:numPr>
          <w:ilvl w:val="1"/>
          <w:numId w:val="1"/>
        </w:numPr>
        <w:tabs>
          <w:tab w:val="left" w:pos="525"/>
        </w:tabs>
        <w:spacing w:before="0" w:line="360" w:lineRule="auto"/>
        <w:jc w:val="left"/>
        <w:rPr>
          <w:rFonts w:ascii="宋体" w:hAnsi="宋体" w:cs="宋体"/>
          <w:color w:val="auto"/>
          <w:kern w:val="2"/>
          <w:highlight w:val="none"/>
        </w:rPr>
      </w:pPr>
      <w:r>
        <w:rPr>
          <w:rFonts w:hint="eastAsia" w:ascii="宋体" w:hAnsi="宋体" w:cs="宋体"/>
          <w:color w:val="auto"/>
          <w:kern w:val="2"/>
          <w:highlight w:val="none"/>
        </w:rPr>
        <w:t>本技术文件所使用的标准，如与投标方所执行的标准不一致时，按较高的标准执行。如果本技术文件与现行使用的有关国家标准以及颁布标准有明显抵触的条文，投标方应及时书面通知招标方进行解决。</w:t>
      </w:r>
    </w:p>
    <w:p>
      <w:pPr>
        <w:pStyle w:val="9"/>
        <w:numPr>
          <w:ilvl w:val="1"/>
          <w:numId w:val="1"/>
        </w:numPr>
        <w:tabs>
          <w:tab w:val="left" w:pos="525"/>
        </w:tabs>
        <w:spacing w:before="0" w:line="360" w:lineRule="auto"/>
        <w:jc w:val="left"/>
        <w:rPr>
          <w:rFonts w:ascii="宋体" w:hAnsi="宋体" w:cs="宋体"/>
          <w:color w:val="auto"/>
          <w:kern w:val="2"/>
          <w:highlight w:val="none"/>
        </w:rPr>
      </w:pPr>
      <w:r>
        <w:rPr>
          <w:rFonts w:hint="eastAsia" w:ascii="宋体" w:hAnsi="宋体" w:cs="宋体"/>
          <w:color w:val="auto"/>
          <w:kern w:val="2"/>
          <w:highlight w:val="none"/>
        </w:rPr>
        <w:t>投标方应提供高质量的设备，这些设备是成熟可靠、技术先进的，投标方具有设备制造、运行成功的经验，提供相关产品鉴定证书。</w:t>
      </w:r>
    </w:p>
    <w:p>
      <w:pPr>
        <w:pStyle w:val="9"/>
        <w:numPr>
          <w:ilvl w:val="1"/>
          <w:numId w:val="1"/>
        </w:numPr>
        <w:tabs>
          <w:tab w:val="left" w:pos="525"/>
        </w:tabs>
        <w:spacing w:before="0" w:line="360" w:lineRule="auto"/>
        <w:jc w:val="left"/>
        <w:rPr>
          <w:rFonts w:ascii="宋体" w:hAnsi="宋体" w:cs="宋体"/>
          <w:color w:val="auto"/>
          <w:kern w:val="2"/>
          <w:highlight w:val="none"/>
        </w:rPr>
      </w:pPr>
      <w:r>
        <w:rPr>
          <w:rFonts w:hint="eastAsia" w:ascii="宋体" w:hAnsi="宋体" w:cs="宋体"/>
          <w:color w:val="auto"/>
          <w:kern w:val="2"/>
          <w:highlight w:val="none"/>
        </w:rPr>
        <w:t>投标方对所设计设备的完整性、可靠性、先进性和技术可行性负责。设备本身及其产生的震动、噪音、粉尘等符合国家相关规范。投标方提供依据供招标方验收。不得采用淘汰名录里的设备。</w:t>
      </w:r>
    </w:p>
    <w:p>
      <w:pPr>
        <w:pStyle w:val="9"/>
        <w:numPr>
          <w:ilvl w:val="1"/>
          <w:numId w:val="1"/>
        </w:numPr>
        <w:tabs>
          <w:tab w:val="left" w:pos="525"/>
        </w:tabs>
        <w:spacing w:before="0" w:line="360" w:lineRule="auto"/>
        <w:jc w:val="left"/>
        <w:rPr>
          <w:rFonts w:ascii="宋体" w:hAnsi="宋体" w:cs="宋体"/>
          <w:color w:val="auto"/>
          <w:kern w:val="2"/>
          <w:highlight w:val="none"/>
        </w:rPr>
      </w:pPr>
      <w:r>
        <w:rPr>
          <w:rFonts w:hint="eastAsia" w:ascii="宋体" w:hAnsi="宋体" w:cs="宋体"/>
          <w:color w:val="auto"/>
          <w:kern w:val="2"/>
          <w:highlight w:val="none"/>
        </w:rPr>
        <w:t>投标方现场施工的安全管理、标准化作业、文明生产必须执行招标方的相关管理制度。</w:t>
      </w:r>
    </w:p>
    <w:p>
      <w:pPr>
        <w:pStyle w:val="9"/>
        <w:numPr>
          <w:ilvl w:val="1"/>
          <w:numId w:val="1"/>
        </w:numPr>
        <w:tabs>
          <w:tab w:val="left" w:pos="525"/>
        </w:tabs>
        <w:spacing w:before="0" w:line="360" w:lineRule="auto"/>
        <w:jc w:val="left"/>
        <w:rPr>
          <w:rFonts w:ascii="宋体" w:hAnsi="宋体" w:cs="宋体"/>
          <w:color w:val="auto"/>
          <w:kern w:val="2"/>
          <w:highlight w:val="none"/>
        </w:rPr>
      </w:pPr>
      <w:r>
        <w:rPr>
          <w:rFonts w:hint="eastAsia" w:ascii="宋体" w:hAnsi="宋体" w:cs="宋体"/>
          <w:color w:val="auto"/>
          <w:kern w:val="2"/>
          <w:highlight w:val="none"/>
        </w:rPr>
        <w:t>投标方所供设备采用的技术不得涉及他人的专利，所有专利涉及到的全部费用均已包含在设备报价中，投标方保证招标方不承担有关设备专利的一切责任。</w:t>
      </w:r>
    </w:p>
    <w:p>
      <w:pPr>
        <w:pStyle w:val="9"/>
        <w:numPr>
          <w:ilvl w:val="1"/>
          <w:numId w:val="1"/>
        </w:numPr>
        <w:tabs>
          <w:tab w:val="left" w:pos="525"/>
        </w:tabs>
        <w:spacing w:before="0" w:line="360" w:lineRule="auto"/>
        <w:jc w:val="left"/>
        <w:rPr>
          <w:rFonts w:ascii="宋体" w:hAnsi="宋体" w:cs="宋体"/>
          <w:color w:val="auto"/>
          <w:kern w:val="2"/>
          <w:highlight w:val="none"/>
        </w:rPr>
      </w:pPr>
      <w:r>
        <w:rPr>
          <w:rFonts w:hint="eastAsia" w:ascii="宋体" w:hAnsi="宋体" w:cs="宋体"/>
          <w:color w:val="auto"/>
          <w:kern w:val="2"/>
          <w:highlight w:val="none"/>
        </w:rPr>
        <w:t>如果投标方没有以书面形式对本技术文件的条文提出异议，则意味着投标方提供的设备完全符合本技术文件的要求。如有异议，应在投标书中以“对技术文件的意见和同技术文件的差异”为标题的专门章节中加以详细描述。</w:t>
      </w:r>
    </w:p>
    <w:p>
      <w:pPr>
        <w:widowControl w:val="0"/>
        <w:numPr>
          <w:ilvl w:val="0"/>
          <w:numId w:val="1"/>
        </w:numPr>
        <w:adjustRightInd/>
        <w:snapToGrid/>
        <w:spacing w:beforeLines="50"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招标内容</w:t>
      </w:r>
    </w:p>
    <w:tbl>
      <w:tblPr>
        <w:tblStyle w:val="6"/>
        <w:tblW w:w="879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68"/>
        <w:gridCol w:w="3123"/>
        <w:gridCol w:w="567"/>
        <w:gridCol w:w="567"/>
        <w:gridCol w:w="39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68" w:hRule="atLeast"/>
        </w:trPr>
        <w:tc>
          <w:tcPr>
            <w:tcW w:w="568" w:type="dxa"/>
            <w:tcBorders>
              <w:top w:val="single" w:color="auto" w:sz="4" w:space="0"/>
              <w:left w:val="single" w:color="auto" w:sz="4" w:space="0"/>
              <w:bottom w:val="single" w:color="auto" w:sz="6" w:space="0"/>
              <w:right w:val="single" w:color="auto" w:sz="6" w:space="0"/>
            </w:tcBorders>
            <w:vAlign w:val="center"/>
          </w:tcPr>
          <w:p>
            <w:pPr>
              <w:spacing w:after="0"/>
              <w:jc w:val="center"/>
              <w:textAlignment w:val="baseline"/>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123" w:type="dxa"/>
            <w:tcBorders>
              <w:top w:val="single" w:color="auto" w:sz="4" w:space="0"/>
              <w:left w:val="single" w:color="auto" w:sz="4" w:space="0"/>
              <w:bottom w:val="single" w:color="auto" w:sz="6" w:space="0"/>
              <w:right w:val="single" w:color="auto" w:sz="6" w:space="0"/>
            </w:tcBorders>
            <w:vAlign w:val="center"/>
          </w:tcPr>
          <w:p>
            <w:pPr>
              <w:spacing w:after="0"/>
              <w:jc w:val="center"/>
              <w:textAlignment w:val="baseline"/>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招标项目</w:t>
            </w:r>
          </w:p>
        </w:tc>
        <w:tc>
          <w:tcPr>
            <w:tcW w:w="567" w:type="dxa"/>
            <w:tcBorders>
              <w:top w:val="single" w:color="auto" w:sz="4" w:space="0"/>
              <w:left w:val="single" w:color="auto" w:sz="6" w:space="0"/>
              <w:bottom w:val="single" w:color="auto" w:sz="6" w:space="0"/>
              <w:right w:val="single" w:color="auto" w:sz="6" w:space="0"/>
            </w:tcBorders>
            <w:vAlign w:val="center"/>
          </w:tcPr>
          <w:p>
            <w:pPr>
              <w:spacing w:after="0"/>
              <w:ind w:left="44" w:leftChars="20"/>
              <w:jc w:val="center"/>
              <w:textAlignment w:val="baseline"/>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567" w:type="dxa"/>
            <w:tcBorders>
              <w:top w:val="single" w:color="auto" w:sz="4" w:space="0"/>
              <w:left w:val="single" w:color="auto" w:sz="6" w:space="0"/>
              <w:bottom w:val="single" w:color="auto" w:sz="6" w:space="0"/>
              <w:right w:val="single" w:color="auto" w:sz="6" w:space="0"/>
            </w:tcBorders>
            <w:vAlign w:val="center"/>
          </w:tcPr>
          <w:p>
            <w:pPr>
              <w:spacing w:after="0"/>
              <w:ind w:left="44" w:leftChars="20"/>
              <w:jc w:val="center"/>
              <w:textAlignment w:val="baseline"/>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3969" w:type="dxa"/>
            <w:tcBorders>
              <w:top w:val="single" w:color="auto" w:sz="4" w:space="0"/>
              <w:left w:val="single" w:color="auto" w:sz="6" w:space="0"/>
              <w:bottom w:val="single" w:color="auto" w:sz="6" w:space="0"/>
              <w:right w:val="single" w:color="auto" w:sz="4" w:space="0"/>
            </w:tcBorders>
            <w:vAlign w:val="center"/>
          </w:tcPr>
          <w:p>
            <w:pPr>
              <w:spacing w:after="0"/>
              <w:ind w:left="44" w:leftChars="20"/>
              <w:jc w:val="center"/>
              <w:textAlignment w:val="baseline"/>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652" w:hRule="atLeast"/>
        </w:trPr>
        <w:tc>
          <w:tcPr>
            <w:tcW w:w="568" w:type="dxa"/>
            <w:tcBorders>
              <w:top w:val="single" w:color="auto" w:sz="6" w:space="0"/>
              <w:left w:val="single" w:color="auto" w:sz="4" w:space="0"/>
              <w:bottom w:val="single" w:color="auto" w:sz="6" w:space="0"/>
              <w:right w:val="single" w:color="auto" w:sz="6" w:space="0"/>
            </w:tcBorders>
            <w:vAlign w:val="center"/>
          </w:tcPr>
          <w:p>
            <w:pPr>
              <w:spacing w:after="0"/>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23" w:type="dxa"/>
            <w:tcBorders>
              <w:top w:val="single" w:color="auto" w:sz="6" w:space="0"/>
              <w:left w:val="single" w:color="auto" w:sz="4" w:space="0"/>
              <w:bottom w:val="single" w:color="auto" w:sz="6" w:space="0"/>
              <w:right w:val="single" w:color="auto" w:sz="6" w:space="0"/>
            </w:tcBorders>
            <w:vAlign w:val="center"/>
          </w:tcPr>
          <w:p>
            <w:pPr>
              <w:spacing w:after="0"/>
              <w:jc w:val="left"/>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DN600-DN1200</w:t>
            </w:r>
            <w:r>
              <w:rPr>
                <w:rFonts w:hint="eastAsia" w:ascii="宋体" w:hAnsi="宋体" w:eastAsia="宋体" w:cs="宋体"/>
                <w:color w:val="auto"/>
                <w:sz w:val="24"/>
                <w:szCs w:val="24"/>
                <w:highlight w:val="none"/>
                <w:lang w:eastAsia="zh-CN"/>
              </w:rPr>
              <w:t>铸管</w:t>
            </w:r>
            <w:r>
              <w:rPr>
                <w:rFonts w:hint="eastAsia" w:ascii="宋体" w:hAnsi="宋体" w:eastAsia="宋体" w:cs="宋体"/>
                <w:color w:val="auto"/>
                <w:sz w:val="24"/>
                <w:szCs w:val="24"/>
                <w:highlight w:val="none"/>
              </w:rPr>
              <w:t>外壁</w:t>
            </w:r>
            <w:r>
              <w:rPr>
                <w:rFonts w:hint="eastAsia" w:ascii="宋体" w:hAnsi="宋体" w:eastAsia="宋体" w:cs="宋体"/>
                <w:color w:val="auto"/>
                <w:sz w:val="24"/>
                <w:szCs w:val="24"/>
                <w:highlight w:val="none"/>
                <w:lang w:eastAsia="zh-CN"/>
              </w:rPr>
              <w:t>龟裂</w:t>
            </w:r>
            <w:r>
              <w:rPr>
                <w:rFonts w:hint="eastAsia" w:ascii="宋体" w:hAnsi="宋体" w:eastAsia="宋体" w:cs="宋体"/>
                <w:color w:val="auto"/>
                <w:sz w:val="24"/>
                <w:szCs w:val="24"/>
                <w:highlight w:val="none"/>
              </w:rPr>
              <w:t>打磨装置</w:t>
            </w:r>
          </w:p>
        </w:tc>
        <w:tc>
          <w:tcPr>
            <w:tcW w:w="567" w:type="dxa"/>
            <w:tcBorders>
              <w:top w:val="single" w:color="auto" w:sz="6" w:space="0"/>
              <w:left w:val="single" w:color="auto" w:sz="6" w:space="0"/>
              <w:bottom w:val="single" w:color="auto" w:sz="6" w:space="0"/>
              <w:right w:val="single" w:color="auto" w:sz="6" w:space="0"/>
            </w:tcBorders>
            <w:vAlign w:val="center"/>
          </w:tcPr>
          <w:p>
            <w:pPr>
              <w:spacing w:after="0"/>
              <w:ind w:left="44" w:leftChars="20"/>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67" w:type="dxa"/>
            <w:tcBorders>
              <w:top w:val="single" w:color="auto" w:sz="6" w:space="0"/>
              <w:left w:val="single" w:color="auto" w:sz="6" w:space="0"/>
              <w:bottom w:val="single" w:color="auto" w:sz="6" w:space="0"/>
              <w:right w:val="single" w:color="auto" w:sz="6" w:space="0"/>
            </w:tcBorders>
            <w:vAlign w:val="center"/>
          </w:tcPr>
          <w:p>
            <w:pPr>
              <w:spacing w:after="0"/>
              <w:ind w:left="44" w:leftChars="20"/>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3969" w:type="dxa"/>
            <w:tcBorders>
              <w:top w:val="single" w:color="auto" w:sz="6" w:space="0"/>
              <w:left w:val="single" w:color="auto" w:sz="6" w:space="0"/>
              <w:bottom w:val="single" w:color="auto" w:sz="6" w:space="0"/>
              <w:right w:val="single" w:color="auto" w:sz="4" w:space="0"/>
            </w:tcBorders>
            <w:vAlign w:val="center"/>
          </w:tcPr>
          <w:p>
            <w:pPr>
              <w:spacing w:after="0"/>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设备供货、指导安装和调试</w:t>
            </w:r>
          </w:p>
        </w:tc>
      </w:tr>
    </w:tbl>
    <w:p>
      <w:pPr>
        <w:widowControl w:val="0"/>
        <w:numPr>
          <w:ilvl w:val="0"/>
          <w:numId w:val="1"/>
        </w:numPr>
        <w:adjustRightInd/>
        <w:snapToGrid/>
        <w:spacing w:beforeLines="50"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设计条件及要求</w:t>
      </w:r>
    </w:p>
    <w:p>
      <w:pPr>
        <w:widowControl w:val="0"/>
        <w:numPr>
          <w:ilvl w:val="1"/>
          <w:numId w:val="2"/>
        </w:numPr>
        <w:adjustRightInd/>
        <w:snapToGrid/>
        <w:spacing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产品参数</w:t>
      </w:r>
    </w:p>
    <w:p>
      <w:pPr>
        <w:widowControl w:val="0"/>
        <w:numPr>
          <w:ilvl w:val="2"/>
          <w:numId w:val="2"/>
        </w:numPr>
        <w:tabs>
          <w:tab w:val="left" w:pos="0"/>
        </w:tabs>
        <w:adjustRightInd/>
        <w:snapToGrid/>
        <w:spacing w:after="0" w:line="360" w:lineRule="auto"/>
        <w:jc w:val="both"/>
        <w:rPr>
          <w:rFonts w:ascii="宋体" w:hAnsi="宋体" w:eastAsia="宋体" w:cs="宋体"/>
          <w:bCs/>
          <w:color w:val="auto"/>
          <w:sz w:val="24"/>
          <w:highlight w:val="none"/>
        </w:rPr>
      </w:pPr>
      <w:r>
        <w:rPr>
          <w:rFonts w:hint="eastAsia" w:ascii="宋体" w:hAnsi="宋体" w:eastAsia="宋体" w:cs="宋体"/>
          <w:bCs/>
          <w:color w:val="auto"/>
          <w:sz w:val="24"/>
          <w:highlight w:val="none"/>
        </w:rPr>
        <w:t>产品种类：DN600、DN700、DN800、DN900、DN1000、DN1100、DN1200</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管子长度：最大6300mm。</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产品材质：QT420-10</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裂纹深度：1-2mm</w:t>
      </w:r>
    </w:p>
    <w:p>
      <w:pPr>
        <w:widowControl w:val="0"/>
        <w:numPr>
          <w:ilvl w:val="1"/>
          <w:numId w:val="2"/>
        </w:numPr>
        <w:adjustRightInd/>
        <w:snapToGrid/>
        <w:spacing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设计参数</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打磨长度：分段/通身打磨（可通过操作界面自主选择）</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运行周期：24小时连续运行</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过线节奏：≥18根/小时</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运行方式：手/自动</w:t>
      </w:r>
    </w:p>
    <w:p>
      <w:pPr>
        <w:widowControl w:val="0"/>
        <w:numPr>
          <w:ilvl w:val="1"/>
          <w:numId w:val="2"/>
        </w:numPr>
        <w:adjustRightInd/>
        <w:snapToGrid/>
        <w:spacing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工艺要求</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操作人员能够通过操作面板自主选择手/自动模式。</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操作人员能够通过操作面板自主选择通身/分段打磨模式。</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在保证打磨质量的前提下，不影响生产节奏。</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应配套装备除尘装置，除尘后岗位无组织排放满足环保要求。</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利用现有直线度检测工位的旋转托轮。</w:t>
      </w:r>
    </w:p>
    <w:p>
      <w:pPr>
        <w:widowControl w:val="0"/>
        <w:numPr>
          <w:ilvl w:val="1"/>
          <w:numId w:val="2"/>
        </w:numPr>
        <w:adjustRightInd/>
        <w:snapToGrid/>
        <w:spacing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工艺流程</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管子从退火炉出炉后，经输送托辊送至待机工位；</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经设立在待机工位处的外壁龟裂监视器观察管子表面，判断是否需要进行打磨作业；</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打磨作业时，操作人员手动选择需打磨的部分和打磨深度，确认后按下打磨按钮，打磨小车自动快速运行至需打磨的部分，启动磨头，同时小车切换至慢速状态，开始对管子进行打磨；</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打磨完成后磨头自动抬起，小车快速归位，打磨循环结束。</w:t>
      </w:r>
    </w:p>
    <w:p>
      <w:pPr>
        <w:numPr>
          <w:ilvl w:val="2"/>
          <w:numId w:val="2"/>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打磨全过程中，操作人员可通过监视器监视管壁情况，如确认龟裂已完全磨除，则可手动选择结束打磨，以加快生产节奏。</w:t>
      </w:r>
    </w:p>
    <w:p>
      <w:pPr>
        <w:widowControl w:val="0"/>
        <w:numPr>
          <w:ilvl w:val="0"/>
          <w:numId w:val="1"/>
        </w:numPr>
        <w:adjustRightInd/>
        <w:snapToGrid/>
        <w:spacing w:beforeLines="50"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设备主要结构及要求</w:t>
      </w:r>
    </w:p>
    <w:p>
      <w:pPr>
        <w:widowControl w:val="0"/>
        <w:numPr>
          <w:ilvl w:val="1"/>
          <w:numId w:val="3"/>
        </w:numPr>
        <w:adjustRightInd/>
        <w:snapToGrid/>
        <w:spacing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设备组成及要求</w:t>
      </w:r>
    </w:p>
    <w:p>
      <w:pPr>
        <w:tabs>
          <w:tab w:val="left" w:pos="0"/>
        </w:tabs>
        <w:spacing w:after="0" w:line="360" w:lineRule="auto"/>
        <w:ind w:firstLine="480" w:firstLineChars="200"/>
        <w:rPr>
          <w:color w:val="auto"/>
          <w:highlight w:val="none"/>
        </w:rPr>
      </w:pPr>
      <w:r>
        <w:rPr>
          <w:rFonts w:hint="eastAsia" w:ascii="宋体" w:hAnsi="宋体" w:eastAsia="宋体" w:cs="宋体"/>
          <w:bCs/>
          <w:color w:val="auto"/>
          <w:sz w:val="24"/>
          <w:highlight w:val="none"/>
        </w:rPr>
        <w:t>本装置由外壁龟裂监视器、打磨小车、抽插式除尘管道、PLC控制系统等组成。</w:t>
      </w:r>
    </w:p>
    <w:p>
      <w:pPr>
        <w:numPr>
          <w:ilvl w:val="2"/>
          <w:numId w:val="4"/>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外壁龟裂监视器由摄像头、视频信号传输线路、显示屏及辅助照明装置等组成，应能够清晰、准确地反映铸管外壁的龟裂情况，为操作人员判断需要打磨的部位提供准确参考。</w:t>
      </w:r>
    </w:p>
    <w:p>
      <w:pPr>
        <w:numPr>
          <w:ilvl w:val="2"/>
          <w:numId w:val="4"/>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打磨小车由支架、行走轨道、车体、磨头升降机构、磨头、行走机构、坦克链等部分组成。</w:t>
      </w:r>
    </w:p>
    <w:p>
      <w:pPr>
        <w:numPr>
          <w:ilvl w:val="0"/>
          <w:numId w:val="5"/>
        </w:numPr>
        <w:autoSpaceDE w:val="0"/>
        <w:autoSpaceDN w:val="0"/>
        <w:spacing w:after="0" w:line="360" w:lineRule="auto"/>
        <w:ind w:left="420"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打磨小车坐于系统支架上，小车轨道应位于待磨管上方。</w:t>
      </w:r>
    </w:p>
    <w:p>
      <w:pPr>
        <w:numPr>
          <w:ilvl w:val="0"/>
          <w:numId w:val="5"/>
        </w:numPr>
        <w:autoSpaceDE w:val="0"/>
        <w:autoSpaceDN w:val="0"/>
        <w:spacing w:after="0" w:line="360" w:lineRule="auto"/>
        <w:ind w:left="420"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磨头升降机构采用液压或气动控制，下压压力可进行比例调节。</w:t>
      </w:r>
    </w:p>
    <w:p>
      <w:pPr>
        <w:numPr>
          <w:ilvl w:val="0"/>
          <w:numId w:val="5"/>
        </w:numPr>
        <w:autoSpaceDE w:val="0"/>
        <w:autoSpaceDN w:val="0"/>
        <w:spacing w:after="0" w:line="360" w:lineRule="auto"/>
        <w:ind w:left="420"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由电机带动磨头旋转，使用皮带传动；磨头应设置制动机构。</w:t>
      </w:r>
    </w:p>
    <w:p>
      <w:pPr>
        <w:numPr>
          <w:ilvl w:val="0"/>
          <w:numId w:val="5"/>
        </w:numPr>
        <w:autoSpaceDE w:val="0"/>
        <w:autoSpaceDN w:val="0"/>
        <w:spacing w:after="0" w:line="360" w:lineRule="auto"/>
        <w:ind w:left="420"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打磨小车行走机构应保证能够以匀速平稳运行，不卡顿、不窜动、不打滑；</w:t>
      </w:r>
    </w:p>
    <w:p>
      <w:pPr>
        <w:numPr>
          <w:ilvl w:val="0"/>
          <w:numId w:val="5"/>
        </w:numPr>
        <w:autoSpaceDE w:val="0"/>
        <w:autoSpaceDN w:val="0"/>
        <w:spacing w:after="0" w:line="360" w:lineRule="auto"/>
        <w:ind w:left="420"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电缆及气动</w:t>
      </w:r>
      <w:r>
        <w:rPr>
          <w:rFonts w:hint="eastAsia" w:ascii="宋体" w:hAnsi="宋体" w:eastAsia="宋体"/>
          <w:bCs/>
          <w:color w:val="auto"/>
          <w:sz w:val="24"/>
          <w:highlight w:val="none"/>
          <w:lang w:eastAsia="zh-CN"/>
        </w:rPr>
        <w:t>（液压）</w:t>
      </w:r>
      <w:r>
        <w:rPr>
          <w:rFonts w:hint="eastAsia" w:ascii="宋体" w:hAnsi="宋体" w:eastAsia="宋体"/>
          <w:bCs/>
          <w:color w:val="auto"/>
          <w:sz w:val="24"/>
          <w:highlight w:val="none"/>
        </w:rPr>
        <w:t>管道应集成安放在坦克链内。</w:t>
      </w:r>
    </w:p>
    <w:p>
      <w:pPr>
        <w:numPr>
          <w:ilvl w:val="0"/>
          <w:numId w:val="5"/>
        </w:numPr>
        <w:autoSpaceDE w:val="0"/>
        <w:autoSpaceDN w:val="0"/>
        <w:spacing w:after="0" w:line="360" w:lineRule="auto"/>
        <w:ind w:left="420"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所有易损件及电机、气缸（液压缸）、磨头等重要部位应置于易拆卸及更换的位置，且拆卸应便捷快速；在合适的位置安装相应的爬梯、检修平台及其他辅助设施，以方便维修人员检修及岗位工更换磨头。</w:t>
      </w:r>
    </w:p>
    <w:p>
      <w:pPr>
        <w:numPr>
          <w:ilvl w:val="0"/>
          <w:numId w:val="5"/>
        </w:numPr>
        <w:autoSpaceDE w:val="0"/>
        <w:autoSpaceDN w:val="0"/>
        <w:spacing w:after="0" w:line="360" w:lineRule="auto"/>
        <w:ind w:left="420"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电机和减速机、气动执行机构（液压缸）应选用国内一线品牌产品。</w:t>
      </w:r>
    </w:p>
    <w:p>
      <w:pPr>
        <w:numPr>
          <w:ilvl w:val="2"/>
          <w:numId w:val="4"/>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打磨小车配备抽插式除尘管，对接铸管部现有的除尘管道，除尘罩的形式、管路通径设计合理，保证打磨过程粉尘不外逸。</w:t>
      </w:r>
    </w:p>
    <w:p>
      <w:pPr>
        <w:numPr>
          <w:ilvl w:val="2"/>
          <w:numId w:val="4"/>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电气部分：</w:t>
      </w:r>
    </w:p>
    <w:p>
      <w:pPr>
        <w:numPr>
          <w:ilvl w:val="0"/>
          <w:numId w:val="6"/>
        </w:numPr>
        <w:autoSpaceDE w:val="0"/>
        <w:autoSpaceDN w:val="0"/>
        <w:spacing w:after="0" w:line="360" w:lineRule="auto"/>
        <w:ind w:left="420"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设备控制采用不低于西门子1500系列PLC,禁止采用单片机等定制设备。</w:t>
      </w:r>
    </w:p>
    <w:p>
      <w:pPr>
        <w:numPr>
          <w:ilvl w:val="0"/>
          <w:numId w:val="6"/>
        </w:numPr>
        <w:autoSpaceDE w:val="0"/>
        <w:autoSpaceDN w:val="0"/>
        <w:spacing w:after="0" w:line="360" w:lineRule="auto"/>
        <w:ind w:left="420"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若使用触摸屏，采用不低于西门子博图屏。</w:t>
      </w:r>
    </w:p>
    <w:p>
      <w:pPr>
        <w:numPr>
          <w:ilvl w:val="0"/>
          <w:numId w:val="6"/>
        </w:numPr>
        <w:autoSpaceDE w:val="0"/>
        <w:autoSpaceDN w:val="0"/>
        <w:spacing w:after="0" w:line="360" w:lineRule="auto"/>
        <w:ind w:left="420"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程序需要开放，禁止加密封装。</w:t>
      </w:r>
    </w:p>
    <w:p>
      <w:pPr>
        <w:numPr>
          <w:ilvl w:val="0"/>
          <w:numId w:val="6"/>
        </w:numPr>
        <w:autoSpaceDE w:val="0"/>
        <w:autoSpaceDN w:val="0"/>
        <w:spacing w:after="0" w:line="360" w:lineRule="auto"/>
        <w:ind w:left="420"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操作界面使用较新版本软件制作，画面程序开放。</w:t>
      </w:r>
    </w:p>
    <w:p>
      <w:pPr>
        <w:numPr>
          <w:ilvl w:val="0"/>
          <w:numId w:val="6"/>
        </w:numPr>
        <w:autoSpaceDE w:val="0"/>
        <w:autoSpaceDN w:val="0"/>
        <w:spacing w:after="0" w:line="360" w:lineRule="auto"/>
        <w:ind w:left="420"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提供私服、变频控制器详细的参数设置清单。</w:t>
      </w:r>
    </w:p>
    <w:p>
      <w:pPr>
        <w:numPr>
          <w:ilvl w:val="0"/>
          <w:numId w:val="6"/>
        </w:numPr>
        <w:autoSpaceDE w:val="0"/>
        <w:autoSpaceDN w:val="0"/>
        <w:spacing w:after="0" w:line="360" w:lineRule="auto"/>
        <w:ind w:left="420"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PLC控制柜应带有触摸屏操作界面，可由操作人员手动选择管子规格、小车行走参数、修磨压力等参数，如需分段打磨则能够设置需要打磨的位置和长度；小车及磨头的启停应实现一键式操作。</w:t>
      </w:r>
    </w:p>
    <w:p>
      <w:pPr>
        <w:numPr>
          <w:ilvl w:val="0"/>
          <w:numId w:val="6"/>
        </w:numPr>
        <w:autoSpaceDE w:val="0"/>
        <w:autoSpaceDN w:val="0"/>
        <w:spacing w:after="0" w:line="360" w:lineRule="auto"/>
        <w:ind w:left="420" w:firstLine="480" w:firstLineChars="200"/>
        <w:rPr>
          <w:rFonts w:ascii="宋体" w:hAnsi="宋体" w:eastAsia="宋体"/>
          <w:color w:val="auto"/>
          <w:sz w:val="24"/>
          <w:highlight w:val="none"/>
        </w:rPr>
      </w:pPr>
      <w:r>
        <w:rPr>
          <w:rFonts w:hint="eastAsia" w:ascii="宋体" w:hAnsi="宋体" w:eastAsia="宋体"/>
          <w:color w:val="auto"/>
          <w:sz w:val="24"/>
          <w:highlight w:val="none"/>
        </w:rPr>
        <w:t>控制系统模拟量信号配置一对一隔离器，每个隔离器配1A的独立空起开关，隔离器应选用国产一线品牌。</w:t>
      </w:r>
    </w:p>
    <w:p>
      <w:pPr>
        <w:numPr>
          <w:ilvl w:val="0"/>
          <w:numId w:val="6"/>
        </w:numPr>
        <w:autoSpaceDE w:val="0"/>
        <w:autoSpaceDN w:val="0"/>
        <w:spacing w:after="0" w:line="360" w:lineRule="auto"/>
        <w:ind w:left="420" w:firstLine="480" w:firstLineChars="200"/>
        <w:rPr>
          <w:rFonts w:ascii="宋体" w:hAnsi="宋体" w:eastAsia="宋体"/>
          <w:color w:val="auto"/>
          <w:sz w:val="24"/>
          <w:highlight w:val="none"/>
        </w:rPr>
      </w:pPr>
      <w:r>
        <w:rPr>
          <w:rFonts w:hint="eastAsia" w:ascii="宋体" w:hAnsi="宋体" w:eastAsia="宋体"/>
          <w:color w:val="auto"/>
          <w:sz w:val="24"/>
          <w:highlight w:val="none"/>
        </w:rPr>
        <w:t>输入输出数字量和模拟量模块调试后，需预留30%余量。</w:t>
      </w:r>
    </w:p>
    <w:p>
      <w:pPr>
        <w:numPr>
          <w:ilvl w:val="0"/>
          <w:numId w:val="6"/>
        </w:numPr>
        <w:autoSpaceDE w:val="0"/>
        <w:autoSpaceDN w:val="0"/>
        <w:spacing w:after="0" w:line="360" w:lineRule="auto"/>
        <w:ind w:left="420" w:firstLine="480" w:firstLineChars="200"/>
        <w:rPr>
          <w:rFonts w:ascii="宋体" w:hAnsi="宋体" w:eastAsia="宋体"/>
          <w:color w:val="auto"/>
          <w:sz w:val="24"/>
          <w:highlight w:val="none"/>
        </w:rPr>
      </w:pPr>
      <w:r>
        <w:rPr>
          <w:rFonts w:hint="eastAsia" w:ascii="宋体" w:hAnsi="宋体" w:eastAsia="宋体"/>
          <w:color w:val="auto"/>
          <w:sz w:val="24"/>
          <w:highlight w:val="none"/>
        </w:rPr>
        <w:t>按钮、接触器、继电器、转换开关及指示灯选用进口优质品牌产品。</w:t>
      </w:r>
    </w:p>
    <w:p>
      <w:pPr>
        <w:numPr>
          <w:ilvl w:val="0"/>
          <w:numId w:val="6"/>
        </w:numPr>
        <w:autoSpaceDE w:val="0"/>
        <w:autoSpaceDN w:val="0"/>
        <w:spacing w:after="0" w:line="360" w:lineRule="auto"/>
        <w:ind w:left="420" w:firstLine="480" w:firstLineChars="200"/>
        <w:rPr>
          <w:rFonts w:ascii="宋体" w:hAnsi="宋体" w:eastAsia="宋体"/>
          <w:color w:val="auto"/>
          <w:sz w:val="24"/>
          <w:highlight w:val="none"/>
        </w:rPr>
      </w:pPr>
      <w:r>
        <w:rPr>
          <w:rFonts w:hint="eastAsia" w:ascii="宋体" w:hAnsi="宋体" w:eastAsia="宋体"/>
          <w:color w:val="auto"/>
          <w:sz w:val="24"/>
          <w:highlight w:val="none"/>
        </w:rPr>
        <w:t>打磨位置、打磨参数的选定均应一键式操作完成，打磨过程应自动完成。</w:t>
      </w:r>
    </w:p>
    <w:p>
      <w:pPr>
        <w:numPr>
          <w:ilvl w:val="2"/>
          <w:numId w:val="4"/>
        </w:numPr>
        <w:tabs>
          <w:tab w:val="left" w:pos="0"/>
        </w:tabs>
        <w:spacing w:after="0"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液压系统：</w:t>
      </w:r>
    </w:p>
    <w:p>
      <w:pPr>
        <w:numPr>
          <w:ilvl w:val="0"/>
          <w:numId w:val="7"/>
        </w:numPr>
        <w:autoSpaceDE w:val="0"/>
        <w:autoSpaceDN w:val="0"/>
        <w:spacing w:after="0" w:line="360" w:lineRule="auto"/>
        <w:ind w:left="42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利用铸管部现有液压站，投标方提供阀台。</w:t>
      </w:r>
    </w:p>
    <w:p>
      <w:pPr>
        <w:numPr>
          <w:ilvl w:val="0"/>
          <w:numId w:val="7"/>
        </w:numPr>
        <w:autoSpaceDE w:val="0"/>
        <w:autoSpaceDN w:val="0"/>
        <w:spacing w:after="0" w:line="360" w:lineRule="auto"/>
        <w:ind w:left="42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液压阀采用电液控制，阀台配外部护罩，需制作单独的阀台安装架，阀台需制作铁皮罩并加门，安装原理图标牌。</w:t>
      </w:r>
    </w:p>
    <w:p>
      <w:pPr>
        <w:numPr>
          <w:ilvl w:val="0"/>
          <w:numId w:val="7"/>
        </w:numPr>
        <w:autoSpaceDE w:val="0"/>
        <w:autoSpaceDN w:val="0"/>
        <w:spacing w:after="0" w:line="360" w:lineRule="auto"/>
        <w:ind w:left="42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液压胶管为3层H型重型胶管。</w:t>
      </w:r>
    </w:p>
    <w:p>
      <w:pPr>
        <w:numPr>
          <w:ilvl w:val="0"/>
          <w:numId w:val="7"/>
        </w:numPr>
        <w:autoSpaceDE w:val="0"/>
        <w:autoSpaceDN w:val="0"/>
        <w:spacing w:after="0" w:line="360" w:lineRule="auto"/>
        <w:ind w:left="42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除特殊要求外，其他油缸选型采用冶金缸。油缸进出油口配高压胶管和高压球阀。</w:t>
      </w:r>
    </w:p>
    <w:p>
      <w:pPr>
        <w:numPr>
          <w:ilvl w:val="0"/>
          <w:numId w:val="7"/>
        </w:numPr>
        <w:autoSpaceDE w:val="0"/>
        <w:autoSpaceDN w:val="0"/>
        <w:spacing w:after="0" w:line="360" w:lineRule="auto"/>
        <w:ind w:left="42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阀块表面进行防锈处理。所有结合面和接头处密封件采用进口密封件。</w:t>
      </w:r>
    </w:p>
    <w:p>
      <w:pPr>
        <w:numPr>
          <w:ilvl w:val="0"/>
          <w:numId w:val="7"/>
        </w:numPr>
        <w:autoSpaceDE w:val="0"/>
        <w:autoSpaceDN w:val="0"/>
        <w:spacing w:after="0" w:line="360" w:lineRule="auto"/>
        <w:ind w:left="42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阀块配压力表，要求采用压力表开关，不准采用压力表线。</w:t>
      </w:r>
    </w:p>
    <w:p>
      <w:pPr>
        <w:numPr>
          <w:ilvl w:val="2"/>
          <w:numId w:val="4"/>
        </w:numPr>
        <w:tabs>
          <w:tab w:val="left" w:pos="0"/>
        </w:tabs>
        <w:spacing w:after="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铸管部现场已有的托轮利旧，由投标方核算是否满足打磨要求，如不满足，由投标方利旧改造，减速机、电机（投标方提供的托轮电机功率满足铸管部现有变频器）及链轮等传动附件由投标方提供；拖轮的启停和旋转速度，由投标方的电控设备和铸管部的电控设备连接通讯。</w:t>
      </w:r>
    </w:p>
    <w:p>
      <w:pPr>
        <w:widowControl w:val="0"/>
        <w:numPr>
          <w:ilvl w:val="1"/>
          <w:numId w:val="3"/>
        </w:numPr>
        <w:adjustRightInd/>
        <w:snapToGrid/>
        <w:spacing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其他要求</w:t>
      </w:r>
    </w:p>
    <w:p>
      <w:pPr>
        <w:numPr>
          <w:ilvl w:val="2"/>
          <w:numId w:val="8"/>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所有投标方供货的设备都涂有底漆及二次面漆加以防护，通用产品出厂涂有最终面漆。主要设施及附属设施的涂装须按《涂装通用技术条件》JB/T5000.12-2018执行。涂漆前必须认真仔细地清除锈蚀，手工除锈要达到st3级，喷射除锈要达到sa2.5级。涂漆道次：涂底漆2次，2次面漆。平膜总厚度为100μm（干膜）。</w:t>
      </w:r>
    </w:p>
    <w:p>
      <w:pPr>
        <w:numPr>
          <w:ilvl w:val="2"/>
          <w:numId w:val="8"/>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本项目所选用材料，采购的标准、配套件应具有检验合格证明，并符合国家标准的规定。</w:t>
      </w:r>
    </w:p>
    <w:p>
      <w:pPr>
        <w:numPr>
          <w:ilvl w:val="2"/>
          <w:numId w:val="8"/>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投标方供货及指导安装时执行的标准如下表：</w:t>
      </w:r>
    </w:p>
    <w:tbl>
      <w:tblPr>
        <w:tblStyle w:val="6"/>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523"/>
        <w:gridCol w:w="2245"/>
        <w:gridCol w:w="5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23" w:type="dxa"/>
            <w:vAlign w:val="center"/>
          </w:tcPr>
          <w:p>
            <w:pPr>
              <w:autoSpaceDN w:val="0"/>
              <w:spacing w:beforeLines="50" w:after="0"/>
              <w:jc w:val="center"/>
              <w:textAlignment w:val="center"/>
              <w:rPr>
                <w:rFonts w:ascii="宋体" w:hAnsi="宋体" w:eastAsia="宋体"/>
                <w:color w:val="auto"/>
                <w:sz w:val="24"/>
                <w:szCs w:val="24"/>
                <w:highlight w:val="none"/>
              </w:rPr>
            </w:pPr>
            <w:r>
              <w:rPr>
                <w:rFonts w:ascii="宋体" w:hAnsi="宋体" w:eastAsia="宋体"/>
                <w:color w:val="auto"/>
                <w:sz w:val="24"/>
                <w:szCs w:val="24"/>
                <w:highlight w:val="none"/>
              </w:rPr>
              <w:t>序号</w:t>
            </w:r>
          </w:p>
        </w:tc>
        <w:tc>
          <w:tcPr>
            <w:tcW w:w="2245" w:type="dxa"/>
            <w:vAlign w:val="center"/>
          </w:tcPr>
          <w:p>
            <w:pPr>
              <w:autoSpaceDN w:val="0"/>
              <w:spacing w:beforeLines="50" w:after="0"/>
              <w:jc w:val="center"/>
              <w:textAlignment w:val="center"/>
              <w:rPr>
                <w:rFonts w:ascii="宋体" w:hAnsi="宋体" w:eastAsia="宋体"/>
                <w:color w:val="auto"/>
                <w:sz w:val="24"/>
                <w:szCs w:val="24"/>
                <w:highlight w:val="none"/>
              </w:rPr>
            </w:pPr>
            <w:r>
              <w:rPr>
                <w:rFonts w:ascii="宋体" w:hAnsi="宋体" w:eastAsia="宋体"/>
                <w:color w:val="auto"/>
                <w:sz w:val="24"/>
                <w:szCs w:val="24"/>
                <w:highlight w:val="none"/>
              </w:rPr>
              <w:t>标准号</w:t>
            </w:r>
          </w:p>
        </w:tc>
        <w:tc>
          <w:tcPr>
            <w:tcW w:w="5568" w:type="dxa"/>
            <w:vAlign w:val="center"/>
          </w:tcPr>
          <w:p>
            <w:pPr>
              <w:autoSpaceDN w:val="0"/>
              <w:spacing w:beforeLines="50" w:after="0"/>
              <w:jc w:val="center"/>
              <w:textAlignment w:val="center"/>
              <w:rPr>
                <w:rFonts w:ascii="宋体" w:hAnsi="宋体" w:eastAsia="宋体"/>
                <w:color w:val="auto"/>
                <w:sz w:val="24"/>
                <w:szCs w:val="24"/>
                <w:highlight w:val="none"/>
              </w:rPr>
            </w:pPr>
            <w:r>
              <w:rPr>
                <w:rFonts w:ascii="宋体" w:hAnsi="宋体" w:eastAsia="宋体"/>
                <w:color w:val="auto"/>
                <w:sz w:val="24"/>
                <w:szCs w:val="24"/>
                <w:highlight w:val="none"/>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01" w:hRule="atLeast"/>
        </w:trPr>
        <w:tc>
          <w:tcPr>
            <w:tcW w:w="523" w:type="dxa"/>
            <w:vAlign w:val="center"/>
          </w:tcPr>
          <w:p>
            <w:pPr>
              <w:autoSpaceDN w:val="0"/>
              <w:spacing w:beforeLines="50" w:after="0"/>
              <w:jc w:val="center"/>
              <w:textAlignment w:val="center"/>
              <w:rPr>
                <w:rFonts w:ascii="宋体" w:hAnsi="宋体" w:eastAsia="宋体"/>
                <w:color w:val="auto"/>
                <w:sz w:val="24"/>
                <w:szCs w:val="24"/>
                <w:highlight w:val="none"/>
              </w:rPr>
            </w:pPr>
            <w:r>
              <w:rPr>
                <w:rFonts w:ascii="宋体" w:hAnsi="宋体" w:eastAsia="宋体"/>
                <w:color w:val="auto"/>
                <w:sz w:val="24"/>
                <w:szCs w:val="24"/>
                <w:highlight w:val="none"/>
              </w:rPr>
              <w:t>1</w:t>
            </w:r>
          </w:p>
        </w:tc>
        <w:tc>
          <w:tcPr>
            <w:tcW w:w="2245"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JB/ZQ4000.1—2002</w:t>
            </w:r>
          </w:p>
        </w:tc>
        <w:tc>
          <w:tcPr>
            <w:tcW w:w="5568"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产品检验通用技术要求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23" w:type="dxa"/>
            <w:vAlign w:val="center"/>
          </w:tcPr>
          <w:p>
            <w:pPr>
              <w:autoSpaceDN w:val="0"/>
              <w:spacing w:beforeLines="50" w:after="0"/>
              <w:jc w:val="center"/>
              <w:textAlignment w:val="center"/>
              <w:rPr>
                <w:rFonts w:ascii="宋体" w:hAnsi="宋体" w:eastAsia="宋体"/>
                <w:color w:val="auto"/>
                <w:sz w:val="24"/>
                <w:szCs w:val="24"/>
                <w:highlight w:val="none"/>
              </w:rPr>
            </w:pPr>
            <w:r>
              <w:rPr>
                <w:rFonts w:ascii="宋体" w:hAnsi="宋体" w:eastAsia="宋体"/>
                <w:color w:val="auto"/>
                <w:sz w:val="24"/>
                <w:szCs w:val="24"/>
                <w:highlight w:val="none"/>
              </w:rPr>
              <w:t>2</w:t>
            </w:r>
          </w:p>
        </w:tc>
        <w:tc>
          <w:tcPr>
            <w:tcW w:w="2245"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JB/ZQ4000.2—2002</w:t>
            </w:r>
          </w:p>
        </w:tc>
        <w:tc>
          <w:tcPr>
            <w:tcW w:w="5568"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切削加工件通用技术要求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23" w:type="dxa"/>
            <w:vAlign w:val="center"/>
          </w:tcPr>
          <w:p>
            <w:pPr>
              <w:autoSpaceDN w:val="0"/>
              <w:spacing w:beforeLines="50" w:after="0"/>
              <w:jc w:val="center"/>
              <w:textAlignment w:val="center"/>
              <w:rPr>
                <w:rFonts w:ascii="宋体" w:hAnsi="宋体" w:eastAsia="宋体"/>
                <w:color w:val="auto"/>
                <w:sz w:val="24"/>
                <w:szCs w:val="24"/>
                <w:highlight w:val="none"/>
              </w:rPr>
            </w:pPr>
            <w:r>
              <w:rPr>
                <w:rFonts w:ascii="宋体" w:hAnsi="宋体" w:eastAsia="宋体"/>
                <w:color w:val="auto"/>
                <w:sz w:val="24"/>
                <w:szCs w:val="24"/>
                <w:highlight w:val="none"/>
              </w:rPr>
              <w:t>3</w:t>
            </w:r>
          </w:p>
        </w:tc>
        <w:tc>
          <w:tcPr>
            <w:tcW w:w="2245"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JB/ZQ4000.3—2002</w:t>
            </w:r>
          </w:p>
        </w:tc>
        <w:tc>
          <w:tcPr>
            <w:tcW w:w="5568"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焊接件通用技术要求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23" w:type="dxa"/>
            <w:vAlign w:val="center"/>
          </w:tcPr>
          <w:p>
            <w:pPr>
              <w:autoSpaceDN w:val="0"/>
              <w:spacing w:beforeLines="50" w:after="0"/>
              <w:jc w:val="center"/>
              <w:textAlignment w:val="center"/>
              <w:rPr>
                <w:rFonts w:ascii="宋体" w:hAnsi="宋体" w:eastAsia="宋体"/>
                <w:color w:val="auto"/>
                <w:sz w:val="24"/>
                <w:szCs w:val="24"/>
                <w:highlight w:val="none"/>
              </w:rPr>
            </w:pPr>
            <w:r>
              <w:rPr>
                <w:rFonts w:ascii="宋体" w:hAnsi="宋体" w:eastAsia="宋体"/>
                <w:color w:val="auto"/>
                <w:sz w:val="24"/>
                <w:szCs w:val="24"/>
                <w:highlight w:val="none"/>
              </w:rPr>
              <w:t>4</w:t>
            </w:r>
          </w:p>
        </w:tc>
        <w:tc>
          <w:tcPr>
            <w:tcW w:w="2245"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JB/ZQ4000.4—2002</w:t>
            </w:r>
          </w:p>
        </w:tc>
        <w:tc>
          <w:tcPr>
            <w:tcW w:w="5568"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火焰切割件通用技术要求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23" w:type="dxa"/>
            <w:vAlign w:val="center"/>
          </w:tcPr>
          <w:p>
            <w:pPr>
              <w:autoSpaceDN w:val="0"/>
              <w:spacing w:beforeLines="50" w:after="0"/>
              <w:jc w:val="center"/>
              <w:textAlignment w:val="center"/>
              <w:rPr>
                <w:rFonts w:ascii="宋体" w:hAnsi="宋体" w:eastAsia="宋体"/>
                <w:color w:val="auto"/>
                <w:sz w:val="24"/>
                <w:szCs w:val="24"/>
                <w:highlight w:val="none"/>
              </w:rPr>
            </w:pPr>
            <w:r>
              <w:rPr>
                <w:rFonts w:ascii="宋体" w:hAnsi="宋体" w:eastAsia="宋体"/>
                <w:color w:val="auto"/>
                <w:sz w:val="24"/>
                <w:szCs w:val="24"/>
                <w:highlight w:val="none"/>
              </w:rPr>
              <w:t>5</w:t>
            </w:r>
          </w:p>
        </w:tc>
        <w:tc>
          <w:tcPr>
            <w:tcW w:w="2245"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JB/ZQ4000.5—2002</w:t>
            </w:r>
          </w:p>
        </w:tc>
        <w:tc>
          <w:tcPr>
            <w:tcW w:w="5568"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铸件通用技术要求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23" w:type="dxa"/>
            <w:vAlign w:val="center"/>
          </w:tcPr>
          <w:p>
            <w:pPr>
              <w:autoSpaceDN w:val="0"/>
              <w:spacing w:beforeLines="50" w:after="0"/>
              <w:jc w:val="center"/>
              <w:textAlignment w:val="center"/>
              <w:rPr>
                <w:rFonts w:ascii="宋体" w:hAnsi="宋体" w:eastAsia="宋体"/>
                <w:color w:val="auto"/>
                <w:sz w:val="24"/>
                <w:szCs w:val="24"/>
                <w:highlight w:val="none"/>
              </w:rPr>
            </w:pPr>
            <w:r>
              <w:rPr>
                <w:rFonts w:ascii="宋体" w:hAnsi="宋体" w:eastAsia="宋体"/>
                <w:color w:val="auto"/>
                <w:sz w:val="24"/>
                <w:szCs w:val="24"/>
                <w:highlight w:val="none"/>
              </w:rPr>
              <w:t>6</w:t>
            </w:r>
          </w:p>
        </w:tc>
        <w:tc>
          <w:tcPr>
            <w:tcW w:w="2245"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JB/ZQ4000.6—2002</w:t>
            </w:r>
          </w:p>
        </w:tc>
        <w:tc>
          <w:tcPr>
            <w:tcW w:w="5568"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铸钢件通用技术要求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23" w:type="dxa"/>
            <w:vAlign w:val="center"/>
          </w:tcPr>
          <w:p>
            <w:pPr>
              <w:autoSpaceDN w:val="0"/>
              <w:spacing w:beforeLines="50" w:after="0"/>
              <w:jc w:val="center"/>
              <w:textAlignment w:val="center"/>
              <w:rPr>
                <w:rFonts w:ascii="宋体" w:hAnsi="宋体" w:eastAsia="宋体"/>
                <w:color w:val="auto"/>
                <w:sz w:val="24"/>
                <w:szCs w:val="24"/>
                <w:highlight w:val="none"/>
              </w:rPr>
            </w:pPr>
            <w:r>
              <w:rPr>
                <w:rFonts w:ascii="宋体" w:hAnsi="宋体" w:eastAsia="宋体"/>
                <w:color w:val="auto"/>
                <w:sz w:val="24"/>
                <w:szCs w:val="24"/>
                <w:highlight w:val="none"/>
              </w:rPr>
              <w:t>7</w:t>
            </w:r>
          </w:p>
        </w:tc>
        <w:tc>
          <w:tcPr>
            <w:tcW w:w="2245"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JB/ZQ4000.7—2002</w:t>
            </w:r>
          </w:p>
        </w:tc>
        <w:tc>
          <w:tcPr>
            <w:tcW w:w="5568"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锻件通用技术要求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23" w:type="dxa"/>
            <w:vAlign w:val="center"/>
          </w:tcPr>
          <w:p>
            <w:pPr>
              <w:autoSpaceDN w:val="0"/>
              <w:spacing w:beforeLines="50" w:after="0"/>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8</w:t>
            </w:r>
          </w:p>
        </w:tc>
        <w:tc>
          <w:tcPr>
            <w:tcW w:w="2245"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JB/ZQ4000.8—2002</w:t>
            </w:r>
          </w:p>
        </w:tc>
        <w:tc>
          <w:tcPr>
            <w:tcW w:w="5568"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管道与容器焊接防锈通用技术要求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23" w:type="dxa"/>
            <w:vAlign w:val="center"/>
          </w:tcPr>
          <w:p>
            <w:pPr>
              <w:autoSpaceDN w:val="0"/>
              <w:spacing w:beforeLines="50" w:after="0"/>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9</w:t>
            </w:r>
          </w:p>
        </w:tc>
        <w:tc>
          <w:tcPr>
            <w:tcW w:w="2245"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JB/ZQ4000.9—2002</w:t>
            </w:r>
          </w:p>
        </w:tc>
        <w:tc>
          <w:tcPr>
            <w:tcW w:w="5568"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装配通用技术要求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23" w:type="dxa"/>
            <w:vAlign w:val="center"/>
          </w:tcPr>
          <w:p>
            <w:pPr>
              <w:autoSpaceDN w:val="0"/>
              <w:spacing w:beforeLines="50" w:after="0"/>
              <w:jc w:val="center"/>
              <w:textAlignment w:val="center"/>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0</w:t>
            </w:r>
          </w:p>
        </w:tc>
        <w:tc>
          <w:tcPr>
            <w:tcW w:w="2245"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JB/ZQ4000.10—2002</w:t>
            </w:r>
          </w:p>
        </w:tc>
        <w:tc>
          <w:tcPr>
            <w:tcW w:w="5568"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涂装通用技术要求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23" w:type="dxa"/>
            <w:vAlign w:val="center"/>
          </w:tcPr>
          <w:p>
            <w:pPr>
              <w:autoSpaceDN w:val="0"/>
              <w:spacing w:beforeLines="50" w:after="0"/>
              <w:jc w:val="center"/>
              <w:textAlignment w:val="center"/>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1</w:t>
            </w:r>
          </w:p>
        </w:tc>
        <w:tc>
          <w:tcPr>
            <w:tcW w:w="2245"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TJ36-79</w:t>
            </w:r>
          </w:p>
        </w:tc>
        <w:tc>
          <w:tcPr>
            <w:tcW w:w="5568"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工业企业设计卫生标准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23" w:type="dxa"/>
            <w:vAlign w:val="center"/>
          </w:tcPr>
          <w:p>
            <w:pPr>
              <w:autoSpaceDN w:val="0"/>
              <w:spacing w:beforeLines="50" w:after="0"/>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12</w:t>
            </w:r>
          </w:p>
        </w:tc>
        <w:tc>
          <w:tcPr>
            <w:tcW w:w="2245"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GB12348-90</w:t>
            </w:r>
          </w:p>
        </w:tc>
        <w:tc>
          <w:tcPr>
            <w:tcW w:w="5568"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噪音抑制标准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23" w:type="dxa"/>
            <w:vAlign w:val="center"/>
          </w:tcPr>
          <w:p>
            <w:pPr>
              <w:autoSpaceDN w:val="0"/>
              <w:spacing w:beforeLines="50" w:after="0"/>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13</w:t>
            </w:r>
          </w:p>
        </w:tc>
        <w:tc>
          <w:tcPr>
            <w:tcW w:w="2245"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GBJ122-88</w:t>
            </w:r>
          </w:p>
        </w:tc>
        <w:tc>
          <w:tcPr>
            <w:tcW w:w="5568"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工业企业噪声测量规范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23" w:type="dxa"/>
            <w:vAlign w:val="center"/>
          </w:tcPr>
          <w:p>
            <w:pPr>
              <w:autoSpaceDN w:val="0"/>
              <w:spacing w:beforeLines="50" w:after="0"/>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14</w:t>
            </w:r>
          </w:p>
        </w:tc>
        <w:tc>
          <w:tcPr>
            <w:tcW w:w="2245"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GB50171-92</w:t>
            </w:r>
          </w:p>
        </w:tc>
        <w:tc>
          <w:tcPr>
            <w:tcW w:w="5568"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电力装置工程盘、柜二次回路接线 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23" w:type="dxa"/>
            <w:vAlign w:val="center"/>
          </w:tcPr>
          <w:p>
            <w:pPr>
              <w:autoSpaceDN w:val="0"/>
              <w:spacing w:beforeLines="50" w:after="0"/>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rPr>
              <w:t>15</w:t>
            </w:r>
          </w:p>
        </w:tc>
        <w:tc>
          <w:tcPr>
            <w:tcW w:w="2245"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GB1479-85</w:t>
            </w:r>
          </w:p>
        </w:tc>
        <w:tc>
          <w:tcPr>
            <w:tcW w:w="5568" w:type="dxa"/>
            <w:vAlign w:val="center"/>
          </w:tcPr>
          <w:p>
            <w:pPr>
              <w:autoSpaceDN w:val="0"/>
              <w:spacing w:beforeLines="50" w:after="0"/>
              <w:textAlignment w:val="center"/>
              <w:rPr>
                <w:rFonts w:ascii="宋体" w:hAnsi="宋体" w:eastAsia="宋体"/>
                <w:color w:val="auto"/>
                <w:sz w:val="24"/>
                <w:szCs w:val="24"/>
                <w:highlight w:val="none"/>
              </w:rPr>
            </w:pPr>
            <w:r>
              <w:rPr>
                <w:rFonts w:ascii="宋体" w:hAnsi="宋体" w:eastAsia="宋体"/>
                <w:color w:val="auto"/>
                <w:sz w:val="24"/>
                <w:szCs w:val="24"/>
                <w:highlight w:val="none"/>
              </w:rPr>
              <w:t>低压电器基本标准</w:t>
            </w:r>
          </w:p>
        </w:tc>
      </w:tr>
    </w:tbl>
    <w:p>
      <w:pPr>
        <w:widowControl w:val="0"/>
        <w:numPr>
          <w:ilvl w:val="0"/>
          <w:numId w:val="1"/>
        </w:numPr>
        <w:adjustRightInd/>
        <w:snapToGrid/>
        <w:spacing w:beforeLines="100"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双方负责范围</w:t>
      </w:r>
    </w:p>
    <w:p>
      <w:pPr>
        <w:widowControl w:val="0"/>
        <w:numPr>
          <w:ilvl w:val="1"/>
          <w:numId w:val="9"/>
        </w:numPr>
        <w:adjustRightInd/>
        <w:snapToGrid/>
        <w:spacing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投标方负责范围</w:t>
      </w:r>
    </w:p>
    <w:p>
      <w:pPr>
        <w:numPr>
          <w:ilvl w:val="2"/>
          <w:numId w:val="10"/>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方负责DN600-DN1200外壁打磨装置的供货、指导安装、调试。凡属于设备正常运行所必须的设备和元器件除特别注明属招标方外，均包括在投标方的设计或供货范围内，投标方对整套设备及性能指标、附加技术、服务负全责。</w:t>
      </w:r>
    </w:p>
    <w:p>
      <w:pPr>
        <w:numPr>
          <w:ilvl w:val="2"/>
          <w:numId w:val="10"/>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投标方负责电气、液压、气动等公辅系统的</w:t>
      </w:r>
      <w:r>
        <w:rPr>
          <w:rFonts w:hint="eastAsia" w:ascii="宋体" w:hAnsi="宋体" w:eastAsia="宋体"/>
          <w:color w:val="auto"/>
          <w:sz w:val="24"/>
          <w:szCs w:val="24"/>
          <w:highlight w:val="none"/>
          <w:lang w:eastAsia="zh-CN"/>
        </w:rPr>
        <w:t>详细设计</w:t>
      </w:r>
      <w:r>
        <w:rPr>
          <w:rFonts w:hint="eastAsia" w:ascii="宋体" w:hAnsi="宋体" w:eastAsia="宋体"/>
          <w:color w:val="auto"/>
          <w:sz w:val="24"/>
          <w:szCs w:val="24"/>
          <w:highlight w:val="none"/>
        </w:rPr>
        <w:t>及供货。</w:t>
      </w:r>
    </w:p>
    <w:p>
      <w:pPr>
        <w:numPr>
          <w:ilvl w:val="2"/>
          <w:numId w:val="10"/>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投标方负责提供给招标方整套设备总</w:t>
      </w:r>
      <w:bookmarkStart w:id="6" w:name="_GoBack"/>
      <w:bookmarkEnd w:id="6"/>
      <w:r>
        <w:rPr>
          <w:rFonts w:hint="eastAsia" w:ascii="宋体" w:hAnsi="宋体" w:eastAsia="宋体"/>
          <w:color w:val="auto"/>
          <w:sz w:val="24"/>
          <w:szCs w:val="24"/>
          <w:highlight w:val="none"/>
        </w:rPr>
        <w:t>用电负荷、电气外线条件、能源介质接点条件及主体设备土建基础设计条件。</w:t>
      </w:r>
    </w:p>
    <w:p>
      <w:pPr>
        <w:numPr>
          <w:ilvl w:val="2"/>
          <w:numId w:val="10"/>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投标方负责提供整套设备非标备品备件的图纸、标准件的规格型号（含国标号），便于招标方采购。</w:t>
      </w:r>
    </w:p>
    <w:p>
      <w:pPr>
        <w:widowControl w:val="0"/>
        <w:numPr>
          <w:ilvl w:val="1"/>
          <w:numId w:val="9"/>
        </w:numPr>
        <w:adjustRightInd/>
        <w:snapToGrid/>
        <w:spacing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招标方负责范围</w:t>
      </w:r>
    </w:p>
    <w:p>
      <w:pPr>
        <w:numPr>
          <w:ilvl w:val="2"/>
          <w:numId w:val="11"/>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招标方负责设备的安装。</w:t>
      </w:r>
    </w:p>
    <w:p>
      <w:pPr>
        <w:numPr>
          <w:ilvl w:val="2"/>
          <w:numId w:val="11"/>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招标方负责提供1路AC380V/50HZ的三相四线电源至投标方总配电柜入口，供电功率满足系统要求。</w:t>
      </w:r>
    </w:p>
    <w:p>
      <w:pPr>
        <w:numPr>
          <w:ilvl w:val="2"/>
          <w:numId w:val="11"/>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招标方负责将公辅介质按投标方要求接至指定位置处。</w:t>
      </w:r>
    </w:p>
    <w:p>
      <w:pPr>
        <w:numPr>
          <w:ilvl w:val="2"/>
          <w:numId w:val="11"/>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招标方负责主体设备土建基础的详细设计及施工。</w:t>
      </w:r>
    </w:p>
    <w:p>
      <w:pPr>
        <w:numPr>
          <w:ilvl w:val="2"/>
          <w:numId w:val="11"/>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招标方提供现有托轮的运行参数。</w:t>
      </w:r>
    </w:p>
    <w:p>
      <w:pPr>
        <w:widowControl w:val="0"/>
        <w:numPr>
          <w:ilvl w:val="0"/>
          <w:numId w:val="1"/>
        </w:numPr>
        <w:adjustRightInd/>
        <w:snapToGrid/>
        <w:spacing w:beforeLines="50"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资料交付</w:t>
      </w:r>
    </w:p>
    <w:p>
      <w:pPr>
        <w:widowControl w:val="0"/>
        <w:numPr>
          <w:ilvl w:val="1"/>
          <w:numId w:val="12"/>
        </w:numPr>
        <w:adjustRightInd/>
        <w:snapToGrid/>
        <w:spacing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资料提交的基本要求</w:t>
      </w:r>
    </w:p>
    <w:p>
      <w:pPr>
        <w:numPr>
          <w:ilvl w:val="2"/>
          <w:numId w:val="13"/>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投标方提供的资料使用国家法定单位制即国际单位制，语言为中文。</w:t>
      </w:r>
    </w:p>
    <w:p>
      <w:pPr>
        <w:numPr>
          <w:ilvl w:val="2"/>
          <w:numId w:val="13"/>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资料的组织结构清晰、逻辑性强。资料内容正确、准确、一致、清晰、完整，满足工程要求。</w:t>
      </w:r>
    </w:p>
    <w:p>
      <w:pPr>
        <w:numPr>
          <w:ilvl w:val="2"/>
          <w:numId w:val="14"/>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投标方资料的提交及时充分，满足工程进度要求。合同签订后7天内，投标方向招标方提供最终的设备平面位置图。招标方审核无误后，双方对设备平面位置图进行会签。</w:t>
      </w:r>
    </w:p>
    <w:p>
      <w:pPr>
        <w:numPr>
          <w:ilvl w:val="2"/>
          <w:numId w:val="13"/>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投标方提供的技术资料一般可分为设计阶段及发货、验收阶段，配合工程设计，设备监造检验，施工调试试运、性能验收试验和运行维护等四个方面。投标方满足以上四个方面的具体要求。</w:t>
      </w:r>
    </w:p>
    <w:p>
      <w:pPr>
        <w:numPr>
          <w:ilvl w:val="2"/>
          <w:numId w:val="13"/>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投标方提供的技术资料为每台设备11套书面文件（</w:t>
      </w:r>
      <w:r>
        <w:rPr>
          <w:rFonts w:hint="eastAsia" w:ascii="宋体" w:hAnsi="宋体" w:eastAsia="宋体"/>
          <w:b/>
          <w:bCs/>
          <w:color w:val="auto"/>
          <w:sz w:val="24"/>
          <w:szCs w:val="24"/>
          <w:highlight w:val="none"/>
        </w:rPr>
        <w:t>加盖投标方印章）</w:t>
      </w:r>
      <w:r>
        <w:rPr>
          <w:rFonts w:hint="eastAsia" w:ascii="宋体" w:hAnsi="宋体" w:eastAsia="宋体"/>
          <w:color w:val="auto"/>
          <w:sz w:val="24"/>
          <w:szCs w:val="24"/>
          <w:highlight w:val="none"/>
        </w:rPr>
        <w:t>，电子版1套。</w:t>
      </w:r>
    </w:p>
    <w:p>
      <w:pPr>
        <w:widowControl w:val="0"/>
        <w:numPr>
          <w:ilvl w:val="1"/>
          <w:numId w:val="12"/>
        </w:numPr>
        <w:adjustRightInd/>
        <w:snapToGrid/>
        <w:spacing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资料交付清单及时间要求</w:t>
      </w:r>
    </w:p>
    <w:tbl>
      <w:tblPr>
        <w:tblStyle w:val="6"/>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5"/>
        <w:gridCol w:w="4192"/>
        <w:gridCol w:w="1635"/>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Align w:val="bottom"/>
          </w:tcPr>
          <w:p>
            <w:pPr>
              <w:spacing w:after="0"/>
              <w:jc w:val="center"/>
              <w:textAlignment w:val="bottom"/>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序号</w:t>
            </w:r>
          </w:p>
        </w:tc>
        <w:tc>
          <w:tcPr>
            <w:tcW w:w="4192" w:type="dxa"/>
            <w:vAlign w:val="bottom"/>
          </w:tcPr>
          <w:p>
            <w:pPr>
              <w:spacing w:after="0"/>
              <w:jc w:val="center"/>
              <w:textAlignment w:val="bottom"/>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资料名称</w:t>
            </w:r>
          </w:p>
        </w:tc>
        <w:tc>
          <w:tcPr>
            <w:tcW w:w="1635" w:type="dxa"/>
            <w:vAlign w:val="bottom"/>
          </w:tcPr>
          <w:p>
            <w:pPr>
              <w:spacing w:after="0"/>
              <w:jc w:val="center"/>
              <w:textAlignment w:val="bottom"/>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交付时间</w:t>
            </w:r>
          </w:p>
        </w:tc>
        <w:tc>
          <w:tcPr>
            <w:tcW w:w="2408" w:type="dxa"/>
            <w:vAlign w:val="bottom"/>
          </w:tcPr>
          <w:p>
            <w:pPr>
              <w:spacing w:after="0"/>
              <w:jc w:val="center"/>
              <w:textAlignment w:val="bottom"/>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4192" w:type="dxa"/>
            <w:shd w:val="clear" w:color="auto" w:fill="FFFF99"/>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用于设计的资料图</w:t>
            </w:r>
          </w:p>
        </w:tc>
        <w:tc>
          <w:tcPr>
            <w:tcW w:w="1635" w:type="dxa"/>
            <w:shd w:val="clear" w:color="auto" w:fill="FFFF99"/>
            <w:vAlign w:val="bottom"/>
          </w:tcPr>
          <w:p>
            <w:pPr>
              <w:spacing w:after="0"/>
              <w:rPr>
                <w:rFonts w:ascii="宋体" w:hAnsi="宋体" w:eastAsia="宋体"/>
                <w:color w:val="auto"/>
                <w:sz w:val="21"/>
                <w:szCs w:val="21"/>
                <w:highlight w:val="none"/>
              </w:rPr>
            </w:pPr>
          </w:p>
        </w:tc>
        <w:tc>
          <w:tcPr>
            <w:tcW w:w="2408" w:type="dxa"/>
            <w:shd w:val="clear" w:color="auto" w:fill="FFFF99"/>
            <w:vAlign w:val="bottom"/>
          </w:tcPr>
          <w:p>
            <w:pPr>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Merge w:val="restart"/>
            <w:vAlign w:val="bottom"/>
          </w:tcPr>
          <w:p>
            <w:pPr>
              <w:spacing w:after="0"/>
              <w:jc w:val="center"/>
              <w:rPr>
                <w:rFonts w:ascii="宋体" w:hAnsi="宋体" w:eastAsia="宋体"/>
                <w:color w:val="auto"/>
                <w:sz w:val="21"/>
                <w:szCs w:val="21"/>
                <w:highlight w:val="none"/>
              </w:rPr>
            </w:pPr>
          </w:p>
        </w:tc>
        <w:tc>
          <w:tcPr>
            <w:tcW w:w="4192"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初步设计方案及相关图纸</w:t>
            </w:r>
          </w:p>
        </w:tc>
        <w:tc>
          <w:tcPr>
            <w:tcW w:w="1635"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合同签订10天内</w:t>
            </w:r>
          </w:p>
        </w:tc>
        <w:tc>
          <w:tcPr>
            <w:tcW w:w="2408" w:type="dxa"/>
            <w:vAlign w:val="bottom"/>
          </w:tcPr>
          <w:p>
            <w:pPr>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auto"/>
                <w:sz w:val="21"/>
                <w:szCs w:val="21"/>
                <w:highlight w:val="none"/>
              </w:rPr>
            </w:pPr>
          </w:p>
        </w:tc>
        <w:tc>
          <w:tcPr>
            <w:tcW w:w="4192"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土建基础资料图</w:t>
            </w:r>
          </w:p>
        </w:tc>
        <w:tc>
          <w:tcPr>
            <w:tcW w:w="1635"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合同签订15天内</w:t>
            </w:r>
          </w:p>
        </w:tc>
        <w:tc>
          <w:tcPr>
            <w:tcW w:w="2408"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DWG电子版+纸版2套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auto"/>
                <w:sz w:val="21"/>
                <w:szCs w:val="21"/>
                <w:highlight w:val="none"/>
              </w:rPr>
            </w:pPr>
          </w:p>
        </w:tc>
        <w:tc>
          <w:tcPr>
            <w:tcW w:w="4192"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介质接点资料图</w:t>
            </w:r>
          </w:p>
        </w:tc>
        <w:tc>
          <w:tcPr>
            <w:tcW w:w="1635"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合同签订15天内</w:t>
            </w:r>
          </w:p>
        </w:tc>
        <w:tc>
          <w:tcPr>
            <w:tcW w:w="2408"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DWG电子版+纸版2套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auto"/>
                <w:sz w:val="21"/>
                <w:szCs w:val="21"/>
                <w:highlight w:val="none"/>
              </w:rPr>
            </w:pPr>
          </w:p>
        </w:tc>
        <w:tc>
          <w:tcPr>
            <w:tcW w:w="4192"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电气及自动化提资图（含电气装置表）</w:t>
            </w:r>
          </w:p>
        </w:tc>
        <w:tc>
          <w:tcPr>
            <w:tcW w:w="1635"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合同签订15天内</w:t>
            </w:r>
          </w:p>
        </w:tc>
        <w:tc>
          <w:tcPr>
            <w:tcW w:w="2408"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DWG电子版+纸版2套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4192" w:type="dxa"/>
            <w:shd w:val="clear" w:color="auto" w:fill="FFFF99"/>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机械装置</w:t>
            </w:r>
          </w:p>
        </w:tc>
        <w:tc>
          <w:tcPr>
            <w:tcW w:w="1635" w:type="dxa"/>
            <w:shd w:val="clear" w:color="auto" w:fill="FFFF99"/>
            <w:vAlign w:val="bottom"/>
          </w:tcPr>
          <w:p>
            <w:pPr>
              <w:spacing w:after="0"/>
              <w:rPr>
                <w:rFonts w:ascii="宋体" w:hAnsi="宋体" w:eastAsia="宋体"/>
                <w:color w:val="auto"/>
                <w:sz w:val="21"/>
                <w:szCs w:val="21"/>
                <w:highlight w:val="none"/>
              </w:rPr>
            </w:pPr>
          </w:p>
        </w:tc>
        <w:tc>
          <w:tcPr>
            <w:tcW w:w="2408" w:type="dxa"/>
            <w:shd w:val="clear" w:color="auto" w:fill="FFFF99"/>
            <w:vAlign w:val="bottom"/>
          </w:tcPr>
          <w:p>
            <w:pPr>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Merge w:val="restart"/>
            <w:vAlign w:val="bottom"/>
          </w:tcPr>
          <w:p>
            <w:pPr>
              <w:spacing w:after="0"/>
              <w:jc w:val="center"/>
              <w:rPr>
                <w:rFonts w:ascii="宋体" w:hAnsi="宋体" w:eastAsia="宋体"/>
                <w:color w:val="auto"/>
                <w:sz w:val="21"/>
                <w:szCs w:val="21"/>
                <w:highlight w:val="none"/>
              </w:rPr>
            </w:pPr>
          </w:p>
        </w:tc>
        <w:tc>
          <w:tcPr>
            <w:tcW w:w="4192"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装置安装总图（含装置重量）、部件图</w:t>
            </w:r>
          </w:p>
        </w:tc>
        <w:tc>
          <w:tcPr>
            <w:tcW w:w="1635"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合同签订30天内</w:t>
            </w:r>
          </w:p>
        </w:tc>
        <w:tc>
          <w:tcPr>
            <w:tcW w:w="2408"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纸版11套，电子（DWG）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auto"/>
                <w:sz w:val="21"/>
                <w:szCs w:val="21"/>
                <w:highlight w:val="none"/>
              </w:rPr>
            </w:pPr>
          </w:p>
        </w:tc>
        <w:tc>
          <w:tcPr>
            <w:tcW w:w="4192"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备件图</w:t>
            </w:r>
          </w:p>
        </w:tc>
        <w:tc>
          <w:tcPr>
            <w:tcW w:w="1635" w:type="dxa"/>
            <w:vMerge w:val="restart"/>
            <w:vAlign w:val="center"/>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装置交货时</w:t>
            </w:r>
          </w:p>
        </w:tc>
        <w:tc>
          <w:tcPr>
            <w:tcW w:w="2408" w:type="dxa"/>
            <w:vMerge w:val="restart"/>
            <w:vAlign w:val="center"/>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纸版11套，电子（DWG）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auto"/>
                <w:sz w:val="21"/>
                <w:szCs w:val="21"/>
                <w:highlight w:val="none"/>
              </w:rPr>
            </w:pPr>
          </w:p>
        </w:tc>
        <w:tc>
          <w:tcPr>
            <w:tcW w:w="4192"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主要外购件清单</w:t>
            </w:r>
          </w:p>
        </w:tc>
        <w:tc>
          <w:tcPr>
            <w:tcW w:w="1635" w:type="dxa"/>
            <w:vMerge w:val="continue"/>
            <w:vAlign w:val="bottom"/>
          </w:tcPr>
          <w:p>
            <w:pPr>
              <w:spacing w:after="0"/>
              <w:rPr>
                <w:rFonts w:ascii="宋体" w:hAnsi="宋体" w:eastAsia="宋体"/>
                <w:color w:val="auto"/>
                <w:sz w:val="21"/>
                <w:szCs w:val="21"/>
                <w:highlight w:val="none"/>
              </w:rPr>
            </w:pPr>
          </w:p>
        </w:tc>
        <w:tc>
          <w:tcPr>
            <w:tcW w:w="2408" w:type="dxa"/>
            <w:vMerge w:val="continue"/>
            <w:vAlign w:val="bottom"/>
          </w:tcPr>
          <w:p>
            <w:pPr>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auto"/>
                <w:sz w:val="21"/>
                <w:szCs w:val="21"/>
                <w:highlight w:val="none"/>
              </w:rPr>
            </w:pPr>
          </w:p>
        </w:tc>
        <w:tc>
          <w:tcPr>
            <w:tcW w:w="4192"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消耗件、易损件图清单</w:t>
            </w:r>
          </w:p>
        </w:tc>
        <w:tc>
          <w:tcPr>
            <w:tcW w:w="1635" w:type="dxa"/>
            <w:vMerge w:val="continue"/>
            <w:vAlign w:val="bottom"/>
          </w:tcPr>
          <w:p>
            <w:pPr>
              <w:spacing w:after="0"/>
              <w:rPr>
                <w:rFonts w:ascii="宋体" w:hAnsi="宋体" w:eastAsia="宋体"/>
                <w:color w:val="auto"/>
                <w:sz w:val="21"/>
                <w:szCs w:val="21"/>
                <w:highlight w:val="none"/>
              </w:rPr>
            </w:pPr>
          </w:p>
        </w:tc>
        <w:tc>
          <w:tcPr>
            <w:tcW w:w="2408" w:type="dxa"/>
            <w:vMerge w:val="continue"/>
            <w:vAlign w:val="bottom"/>
          </w:tcPr>
          <w:p>
            <w:pPr>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4192" w:type="dxa"/>
            <w:shd w:val="clear" w:color="auto" w:fill="FFFF99"/>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气动系统</w:t>
            </w:r>
          </w:p>
        </w:tc>
        <w:tc>
          <w:tcPr>
            <w:tcW w:w="1635" w:type="dxa"/>
            <w:shd w:val="clear" w:color="auto" w:fill="FFFF99"/>
            <w:vAlign w:val="bottom"/>
          </w:tcPr>
          <w:p>
            <w:pPr>
              <w:spacing w:after="0"/>
              <w:rPr>
                <w:rFonts w:ascii="宋体" w:hAnsi="宋体" w:eastAsia="宋体"/>
                <w:color w:val="auto"/>
                <w:sz w:val="21"/>
                <w:szCs w:val="21"/>
                <w:highlight w:val="none"/>
              </w:rPr>
            </w:pPr>
          </w:p>
        </w:tc>
        <w:tc>
          <w:tcPr>
            <w:tcW w:w="2408" w:type="dxa"/>
            <w:shd w:val="clear" w:color="auto" w:fill="FFFF99"/>
            <w:vAlign w:val="bottom"/>
          </w:tcPr>
          <w:p>
            <w:pPr>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Merge w:val="restart"/>
            <w:vAlign w:val="bottom"/>
          </w:tcPr>
          <w:p>
            <w:pPr>
              <w:spacing w:after="0"/>
              <w:textAlignment w:val="bottom"/>
              <w:rPr>
                <w:rFonts w:ascii="宋体" w:hAnsi="宋体" w:eastAsia="宋体"/>
                <w:color w:val="auto"/>
                <w:sz w:val="21"/>
                <w:szCs w:val="21"/>
                <w:highlight w:val="none"/>
              </w:rPr>
            </w:pPr>
          </w:p>
        </w:tc>
        <w:tc>
          <w:tcPr>
            <w:tcW w:w="4192"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原理图</w:t>
            </w:r>
          </w:p>
        </w:tc>
        <w:tc>
          <w:tcPr>
            <w:tcW w:w="1635"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合同签订30天内</w:t>
            </w:r>
          </w:p>
        </w:tc>
        <w:tc>
          <w:tcPr>
            <w:tcW w:w="2408"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纸版11套，电子（DWG）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Merge w:val="continue"/>
            <w:vAlign w:val="bottom"/>
          </w:tcPr>
          <w:p>
            <w:pPr>
              <w:spacing w:after="0"/>
              <w:textAlignment w:val="bottom"/>
              <w:rPr>
                <w:rFonts w:ascii="宋体" w:hAnsi="宋体" w:eastAsia="宋体"/>
                <w:color w:val="auto"/>
                <w:sz w:val="21"/>
                <w:szCs w:val="21"/>
                <w:highlight w:val="none"/>
              </w:rPr>
            </w:pPr>
          </w:p>
        </w:tc>
        <w:tc>
          <w:tcPr>
            <w:tcW w:w="4192"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布管图</w:t>
            </w:r>
          </w:p>
        </w:tc>
        <w:tc>
          <w:tcPr>
            <w:tcW w:w="1635"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合同签订30天内</w:t>
            </w:r>
          </w:p>
        </w:tc>
        <w:tc>
          <w:tcPr>
            <w:tcW w:w="2408"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纸版11套，电子（DWG）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4192" w:type="dxa"/>
            <w:shd w:val="clear" w:color="auto" w:fill="FFFF99"/>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电气及控制</w:t>
            </w:r>
          </w:p>
        </w:tc>
        <w:tc>
          <w:tcPr>
            <w:tcW w:w="1635" w:type="dxa"/>
            <w:shd w:val="clear" w:color="auto" w:fill="FFFF99"/>
            <w:vAlign w:val="bottom"/>
          </w:tcPr>
          <w:p>
            <w:pPr>
              <w:spacing w:after="0"/>
              <w:rPr>
                <w:rFonts w:ascii="宋体" w:hAnsi="宋体" w:eastAsia="宋体"/>
                <w:color w:val="auto"/>
                <w:sz w:val="21"/>
                <w:szCs w:val="21"/>
                <w:highlight w:val="none"/>
              </w:rPr>
            </w:pPr>
          </w:p>
        </w:tc>
        <w:tc>
          <w:tcPr>
            <w:tcW w:w="2408" w:type="dxa"/>
            <w:shd w:val="clear" w:color="auto" w:fill="FFFF99"/>
            <w:vAlign w:val="bottom"/>
          </w:tcPr>
          <w:p>
            <w:pPr>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Merge w:val="restart"/>
            <w:vAlign w:val="center"/>
          </w:tcPr>
          <w:p>
            <w:pPr>
              <w:spacing w:after="0"/>
              <w:jc w:val="center"/>
              <w:rPr>
                <w:rFonts w:ascii="宋体" w:hAnsi="宋体" w:eastAsia="宋体"/>
                <w:color w:val="auto"/>
                <w:sz w:val="21"/>
                <w:szCs w:val="21"/>
                <w:highlight w:val="none"/>
              </w:rPr>
            </w:pPr>
          </w:p>
        </w:tc>
        <w:tc>
          <w:tcPr>
            <w:tcW w:w="4192" w:type="dxa"/>
            <w:vAlign w:val="center"/>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电气及自动化系统原理图（含电缆表）</w:t>
            </w:r>
          </w:p>
        </w:tc>
        <w:tc>
          <w:tcPr>
            <w:tcW w:w="1635"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合同签订30天内</w:t>
            </w:r>
          </w:p>
        </w:tc>
        <w:tc>
          <w:tcPr>
            <w:tcW w:w="2408"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纸版11套，电子版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Merge w:val="continue"/>
            <w:vAlign w:val="center"/>
          </w:tcPr>
          <w:p>
            <w:pPr>
              <w:spacing w:after="0"/>
              <w:jc w:val="center"/>
              <w:rPr>
                <w:rFonts w:ascii="宋体" w:hAnsi="宋体" w:eastAsia="宋体"/>
                <w:color w:val="auto"/>
                <w:sz w:val="21"/>
                <w:szCs w:val="21"/>
                <w:highlight w:val="none"/>
              </w:rPr>
            </w:pPr>
          </w:p>
        </w:tc>
        <w:tc>
          <w:tcPr>
            <w:tcW w:w="4192" w:type="dxa"/>
            <w:vAlign w:val="center"/>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电气及自动化系统施工图（接线图）</w:t>
            </w:r>
          </w:p>
        </w:tc>
        <w:tc>
          <w:tcPr>
            <w:tcW w:w="1635"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合同签订30天内</w:t>
            </w:r>
          </w:p>
        </w:tc>
        <w:tc>
          <w:tcPr>
            <w:tcW w:w="2408"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纸版11套，电子版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auto"/>
                <w:sz w:val="21"/>
                <w:szCs w:val="21"/>
                <w:highlight w:val="none"/>
              </w:rPr>
            </w:pPr>
          </w:p>
        </w:tc>
        <w:tc>
          <w:tcPr>
            <w:tcW w:w="4192"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PLC、上位机、触摸屏程序源代码</w:t>
            </w:r>
          </w:p>
        </w:tc>
        <w:tc>
          <w:tcPr>
            <w:tcW w:w="1635"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调试完成后</w:t>
            </w:r>
          </w:p>
        </w:tc>
        <w:tc>
          <w:tcPr>
            <w:tcW w:w="2408"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auto"/>
                <w:sz w:val="21"/>
                <w:szCs w:val="21"/>
                <w:highlight w:val="none"/>
              </w:rPr>
            </w:pPr>
          </w:p>
        </w:tc>
        <w:tc>
          <w:tcPr>
            <w:tcW w:w="4192"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应用软件显示画面及输出报表说明</w:t>
            </w:r>
          </w:p>
        </w:tc>
        <w:tc>
          <w:tcPr>
            <w:tcW w:w="1635"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调试完成后</w:t>
            </w:r>
          </w:p>
        </w:tc>
        <w:tc>
          <w:tcPr>
            <w:tcW w:w="2408"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4192" w:type="dxa"/>
            <w:shd w:val="clear" w:color="auto" w:fill="FFFF99"/>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装置相关资料</w:t>
            </w:r>
          </w:p>
        </w:tc>
        <w:tc>
          <w:tcPr>
            <w:tcW w:w="1635" w:type="dxa"/>
            <w:shd w:val="clear" w:color="auto" w:fill="FFFF99"/>
            <w:vAlign w:val="bottom"/>
          </w:tcPr>
          <w:p>
            <w:pPr>
              <w:spacing w:after="0"/>
              <w:rPr>
                <w:rFonts w:ascii="宋体" w:hAnsi="宋体" w:eastAsia="宋体"/>
                <w:color w:val="auto"/>
                <w:sz w:val="21"/>
                <w:szCs w:val="21"/>
                <w:highlight w:val="none"/>
              </w:rPr>
            </w:pPr>
          </w:p>
        </w:tc>
        <w:tc>
          <w:tcPr>
            <w:tcW w:w="2408" w:type="dxa"/>
            <w:shd w:val="clear" w:color="auto" w:fill="FFFF99"/>
            <w:vAlign w:val="bottom"/>
          </w:tcPr>
          <w:p>
            <w:pPr>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Merge w:val="restart"/>
            <w:vAlign w:val="bottom"/>
          </w:tcPr>
          <w:p>
            <w:pPr>
              <w:spacing w:after="0"/>
              <w:jc w:val="center"/>
              <w:rPr>
                <w:rFonts w:ascii="宋体" w:hAnsi="宋体" w:eastAsia="宋体"/>
                <w:color w:val="auto"/>
                <w:sz w:val="21"/>
                <w:szCs w:val="21"/>
                <w:highlight w:val="none"/>
              </w:rPr>
            </w:pPr>
          </w:p>
        </w:tc>
        <w:tc>
          <w:tcPr>
            <w:tcW w:w="4192"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最终装置的使用说明书和功能描述</w:t>
            </w:r>
          </w:p>
        </w:tc>
        <w:tc>
          <w:tcPr>
            <w:tcW w:w="1635"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装置交货时</w:t>
            </w:r>
          </w:p>
        </w:tc>
        <w:tc>
          <w:tcPr>
            <w:tcW w:w="2408"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电子版（word）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trPr>
        <w:tc>
          <w:tcPr>
            <w:tcW w:w="555" w:type="dxa"/>
            <w:vMerge w:val="continue"/>
            <w:vAlign w:val="bottom"/>
          </w:tcPr>
          <w:p>
            <w:pPr>
              <w:spacing w:after="0"/>
              <w:jc w:val="center"/>
              <w:rPr>
                <w:rFonts w:ascii="宋体" w:hAnsi="宋体" w:eastAsia="宋体"/>
                <w:color w:val="auto"/>
                <w:sz w:val="21"/>
                <w:szCs w:val="21"/>
                <w:highlight w:val="none"/>
              </w:rPr>
            </w:pPr>
          </w:p>
        </w:tc>
        <w:tc>
          <w:tcPr>
            <w:tcW w:w="4192"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各种培训资料、操作、维护、检修、安全说明书</w:t>
            </w:r>
          </w:p>
        </w:tc>
        <w:tc>
          <w:tcPr>
            <w:tcW w:w="1635" w:type="dxa"/>
            <w:vAlign w:val="center"/>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装置交货时</w:t>
            </w:r>
          </w:p>
        </w:tc>
        <w:tc>
          <w:tcPr>
            <w:tcW w:w="2408" w:type="dxa"/>
            <w:vAlign w:val="center"/>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纸版、电子版（word）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auto"/>
                <w:sz w:val="21"/>
                <w:szCs w:val="21"/>
                <w:highlight w:val="none"/>
              </w:rPr>
            </w:pPr>
          </w:p>
        </w:tc>
        <w:tc>
          <w:tcPr>
            <w:tcW w:w="4192"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质量检验书和质保书</w:t>
            </w:r>
          </w:p>
        </w:tc>
        <w:tc>
          <w:tcPr>
            <w:tcW w:w="1635"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装置交货时</w:t>
            </w:r>
          </w:p>
        </w:tc>
        <w:tc>
          <w:tcPr>
            <w:tcW w:w="2408" w:type="dxa"/>
            <w:vAlign w:val="bottom"/>
          </w:tcPr>
          <w:p>
            <w:pPr>
              <w:spacing w:after="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纸版</w:t>
            </w:r>
          </w:p>
        </w:tc>
      </w:tr>
    </w:tbl>
    <w:p>
      <w:pPr>
        <w:spacing w:beforeLines="50" w:after="0" w:line="360" w:lineRule="auto"/>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注</w:t>
      </w:r>
      <w:r>
        <w:rPr>
          <w:rFonts w:hint="eastAsia" w:ascii="宋体" w:hAnsi="宋体" w:eastAsia="宋体" w:cs="宋体"/>
          <w:bCs/>
          <w:color w:val="auto"/>
          <w:sz w:val="24"/>
          <w:szCs w:val="24"/>
          <w:highlight w:val="none"/>
        </w:rPr>
        <w:t>1：</w:t>
      </w:r>
      <w:r>
        <w:rPr>
          <w:rFonts w:hint="eastAsia" w:ascii="宋体" w:hAnsi="宋体" w:eastAsia="宋体" w:cs="Arial"/>
          <w:bCs/>
          <w:color w:val="auto"/>
          <w:sz w:val="24"/>
          <w:szCs w:val="24"/>
          <w:highlight w:val="none"/>
        </w:rPr>
        <w:t>所有日期均指日历日。</w:t>
      </w:r>
    </w:p>
    <w:p>
      <w:pPr>
        <w:tabs>
          <w:tab w:val="left" w:pos="735"/>
        </w:tabs>
        <w:spacing w:after="0" w:line="360" w:lineRule="auto"/>
        <w:rPr>
          <w:rFonts w:ascii="宋体" w:hAnsi="宋体" w:eastAsia="宋体" w:cs="宋体"/>
          <w:bCs/>
          <w:color w:val="auto"/>
          <w:sz w:val="24"/>
          <w:szCs w:val="24"/>
          <w:highlight w:val="none"/>
        </w:rPr>
      </w:pPr>
      <w:r>
        <w:rPr>
          <w:rFonts w:hint="eastAsia" w:ascii="宋体" w:hAnsi="宋体" w:eastAsia="宋体" w:cs="Arial"/>
          <w:bCs/>
          <w:color w:val="auto"/>
          <w:sz w:val="24"/>
          <w:szCs w:val="24"/>
          <w:highlight w:val="none"/>
        </w:rPr>
        <w:t>注</w:t>
      </w:r>
      <w:r>
        <w:rPr>
          <w:rFonts w:hint="eastAsia" w:ascii="宋体" w:hAnsi="宋体" w:eastAsia="宋体" w:cs="宋体"/>
          <w:bCs/>
          <w:color w:val="auto"/>
          <w:sz w:val="24"/>
          <w:szCs w:val="24"/>
          <w:highlight w:val="none"/>
        </w:rPr>
        <w:t>2：投标方交付的资料包括纸质资料和电子文件，表中资料份数为纸版资料份数。要求电子文件可编辑，电子文件类型分别为：dwg文件；doc文件；xls文件等。</w:t>
      </w:r>
    </w:p>
    <w:p>
      <w:pPr>
        <w:tabs>
          <w:tab w:val="left" w:pos="735"/>
        </w:tabs>
        <w:spacing w:after="0" w:line="360" w:lineRule="auto"/>
        <w:rPr>
          <w:rFonts w:ascii="宋体" w:hAnsi="宋体" w:eastAsia="宋体"/>
          <w:color w:val="auto"/>
          <w:sz w:val="24"/>
          <w:szCs w:val="24"/>
          <w:highlight w:val="none"/>
        </w:rPr>
      </w:pPr>
      <w:r>
        <w:rPr>
          <w:rFonts w:hint="eastAsia" w:ascii="宋体" w:hAnsi="宋体" w:eastAsia="宋体" w:cs="Arial"/>
          <w:bCs/>
          <w:color w:val="auto"/>
          <w:sz w:val="24"/>
          <w:szCs w:val="24"/>
          <w:highlight w:val="none"/>
        </w:rPr>
        <w:t>注</w:t>
      </w:r>
      <w:r>
        <w:rPr>
          <w:rFonts w:hint="eastAsia" w:ascii="宋体" w:hAnsi="宋体" w:eastAsia="宋体" w:cs="宋体"/>
          <w:bCs/>
          <w:color w:val="auto"/>
          <w:sz w:val="24"/>
          <w:szCs w:val="24"/>
          <w:highlight w:val="none"/>
        </w:rPr>
        <w:t>3：</w:t>
      </w:r>
      <w:r>
        <w:rPr>
          <w:rFonts w:ascii="宋体" w:hAnsi="宋体" w:eastAsia="宋体"/>
          <w:color w:val="auto"/>
          <w:sz w:val="24"/>
          <w:szCs w:val="24"/>
          <w:highlight w:val="none"/>
        </w:rPr>
        <w:t>对于没有列入技术资料清单，却是工程所必需的文件和资料，</w:t>
      </w:r>
      <w:r>
        <w:rPr>
          <w:rFonts w:hint="eastAsia" w:ascii="宋体" w:hAnsi="宋体" w:eastAsia="宋体"/>
          <w:color w:val="auto"/>
          <w:sz w:val="24"/>
          <w:szCs w:val="24"/>
          <w:highlight w:val="none"/>
        </w:rPr>
        <w:t>投标方</w:t>
      </w:r>
      <w:r>
        <w:rPr>
          <w:rFonts w:ascii="宋体" w:hAnsi="宋体" w:eastAsia="宋体"/>
          <w:color w:val="auto"/>
          <w:sz w:val="24"/>
          <w:szCs w:val="24"/>
          <w:highlight w:val="none"/>
        </w:rPr>
        <w:t>应按</w:t>
      </w:r>
      <w:r>
        <w:rPr>
          <w:rFonts w:hint="eastAsia" w:ascii="宋体" w:hAnsi="宋体" w:eastAsia="宋体"/>
          <w:color w:val="auto"/>
          <w:sz w:val="24"/>
          <w:szCs w:val="24"/>
          <w:highlight w:val="none"/>
        </w:rPr>
        <w:t>招标方</w:t>
      </w:r>
      <w:r>
        <w:rPr>
          <w:rFonts w:ascii="宋体" w:hAnsi="宋体" w:eastAsia="宋体"/>
          <w:color w:val="auto"/>
          <w:sz w:val="24"/>
          <w:szCs w:val="24"/>
          <w:highlight w:val="none"/>
        </w:rPr>
        <w:t>要求及时免费提供。如需改进时，</w:t>
      </w:r>
      <w:r>
        <w:rPr>
          <w:rFonts w:hint="eastAsia" w:ascii="宋体" w:hAnsi="宋体" w:eastAsia="宋体"/>
          <w:color w:val="auto"/>
          <w:sz w:val="24"/>
          <w:szCs w:val="24"/>
          <w:highlight w:val="none"/>
        </w:rPr>
        <w:t>投标方</w:t>
      </w:r>
      <w:r>
        <w:rPr>
          <w:rFonts w:ascii="宋体" w:hAnsi="宋体" w:eastAsia="宋体"/>
          <w:color w:val="auto"/>
          <w:sz w:val="24"/>
          <w:szCs w:val="24"/>
          <w:highlight w:val="none"/>
        </w:rPr>
        <w:t>应及时免费提供新的技术资料。</w:t>
      </w:r>
    </w:p>
    <w:p>
      <w:pPr>
        <w:tabs>
          <w:tab w:val="left" w:pos="735"/>
        </w:tabs>
        <w:spacing w:after="0" w:line="360" w:lineRule="auto"/>
        <w:rPr>
          <w:rFonts w:ascii="宋体" w:hAnsi="宋体" w:eastAsia="宋体"/>
          <w:color w:val="auto"/>
          <w:sz w:val="24"/>
          <w:szCs w:val="24"/>
          <w:highlight w:val="none"/>
        </w:rPr>
      </w:pPr>
      <w:r>
        <w:rPr>
          <w:rFonts w:hint="eastAsia" w:ascii="宋体" w:hAnsi="宋体" w:eastAsia="宋体" w:cs="Arial"/>
          <w:bCs/>
          <w:color w:val="auto"/>
          <w:sz w:val="24"/>
          <w:szCs w:val="24"/>
          <w:highlight w:val="none"/>
        </w:rPr>
        <w:t>注</w:t>
      </w:r>
      <w:r>
        <w:rPr>
          <w:rFonts w:hint="eastAsia" w:ascii="宋体" w:hAnsi="宋体" w:eastAsia="宋体"/>
          <w:color w:val="auto"/>
          <w:sz w:val="24"/>
          <w:szCs w:val="24"/>
          <w:highlight w:val="none"/>
        </w:rPr>
        <w:t>4：投标方涉及第三方专利和其他知识产权纠纷的，由投标方自行负责，与招标方无关。</w:t>
      </w:r>
    </w:p>
    <w:p>
      <w:pPr>
        <w:tabs>
          <w:tab w:val="left" w:pos="735"/>
        </w:tabs>
        <w:spacing w:after="0" w:line="360" w:lineRule="auto"/>
        <w:rPr>
          <w:rFonts w:ascii="宋体" w:hAnsi="宋体" w:eastAsia="宋体"/>
          <w:color w:val="auto"/>
          <w:sz w:val="24"/>
          <w:szCs w:val="24"/>
          <w:highlight w:val="none"/>
        </w:rPr>
      </w:pPr>
    </w:p>
    <w:p>
      <w:pPr>
        <w:widowControl w:val="0"/>
        <w:numPr>
          <w:ilvl w:val="0"/>
          <w:numId w:val="1"/>
        </w:numPr>
        <w:adjustRightInd/>
        <w:snapToGrid/>
        <w:spacing w:beforeLines="50"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指导安装、调试与服务指导</w:t>
      </w:r>
    </w:p>
    <w:p>
      <w:pPr>
        <w:widowControl w:val="0"/>
        <w:numPr>
          <w:ilvl w:val="1"/>
          <w:numId w:val="15"/>
        </w:numPr>
        <w:adjustRightInd/>
        <w:snapToGrid/>
        <w:spacing w:after="0"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投标方</w:t>
      </w:r>
      <w:r>
        <w:rPr>
          <w:rFonts w:hint="eastAsia" w:ascii="宋体" w:hAnsi="宋体" w:eastAsia="宋体" w:cs="宋体"/>
          <w:color w:val="auto"/>
          <w:sz w:val="24"/>
          <w:highlight w:val="none"/>
          <w:lang w:eastAsia="zh-CN"/>
        </w:rPr>
        <w:t>在安装过程中的责任</w:t>
      </w:r>
    </w:p>
    <w:p>
      <w:pPr>
        <w:numPr>
          <w:ilvl w:val="2"/>
          <w:numId w:val="16"/>
        </w:numPr>
        <w:tabs>
          <w:tab w:val="left" w:pos="0"/>
        </w:tabs>
        <w:spacing w:after="0"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负责本系统所需的各设备的指导安装、调试工作；</w:t>
      </w:r>
    </w:p>
    <w:p>
      <w:pPr>
        <w:numPr>
          <w:ilvl w:val="2"/>
          <w:numId w:val="16"/>
        </w:numPr>
        <w:tabs>
          <w:tab w:val="left" w:pos="0"/>
        </w:tabs>
        <w:spacing w:after="0"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试车时齿轮箱及全线各润滑点用润滑油由投标方提供；</w:t>
      </w:r>
    </w:p>
    <w:p>
      <w:pPr>
        <w:numPr>
          <w:ilvl w:val="2"/>
          <w:numId w:val="16"/>
        </w:numPr>
        <w:tabs>
          <w:tab w:val="left" w:pos="0"/>
        </w:tabs>
        <w:spacing w:after="0"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负责整线电控系统的安装调试；</w:t>
      </w:r>
    </w:p>
    <w:p>
      <w:pPr>
        <w:numPr>
          <w:ilvl w:val="2"/>
          <w:numId w:val="16"/>
        </w:numPr>
        <w:tabs>
          <w:tab w:val="left" w:pos="0"/>
        </w:tabs>
        <w:spacing w:after="0"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对本系统的竣工进度负责；</w:t>
      </w:r>
    </w:p>
    <w:p>
      <w:pPr>
        <w:numPr>
          <w:ilvl w:val="2"/>
          <w:numId w:val="16"/>
        </w:numPr>
        <w:tabs>
          <w:tab w:val="left" w:pos="0"/>
        </w:tabs>
        <w:spacing w:after="0"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严格遵守招标方的各项有关规章制度；</w:t>
      </w:r>
    </w:p>
    <w:p>
      <w:pPr>
        <w:widowControl w:val="0"/>
        <w:numPr>
          <w:ilvl w:val="1"/>
          <w:numId w:val="15"/>
        </w:numPr>
        <w:adjustRightInd/>
        <w:snapToGrid/>
        <w:spacing w:after="0" w:line="360" w:lineRule="auto"/>
        <w:jc w:val="both"/>
        <w:rPr>
          <w:rFonts w:ascii="宋体" w:hAnsi="宋体" w:eastAsia="宋体" w:cs="宋体"/>
          <w:color w:val="auto"/>
          <w:sz w:val="24"/>
          <w:highlight w:val="none"/>
        </w:rPr>
      </w:pPr>
      <w:bookmarkStart w:id="3" w:name="_Toc509309699"/>
      <w:r>
        <w:rPr>
          <w:rFonts w:hint="eastAsia" w:ascii="宋体" w:hAnsi="宋体" w:eastAsia="宋体" w:cs="宋体"/>
          <w:color w:val="auto"/>
          <w:sz w:val="24"/>
          <w:highlight w:val="none"/>
        </w:rPr>
        <w:t>培训（在招标方）</w:t>
      </w:r>
    </w:p>
    <w:p>
      <w:pPr>
        <w:numPr>
          <w:ilvl w:val="2"/>
          <w:numId w:val="17"/>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介绍设备的主要结构、工作原理、操作方法及注意事项。</w:t>
      </w:r>
    </w:p>
    <w:p>
      <w:pPr>
        <w:numPr>
          <w:ilvl w:val="2"/>
          <w:numId w:val="17"/>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介绍工程系统工作流程、操作方法及注意事项。</w:t>
      </w:r>
    </w:p>
    <w:p>
      <w:pPr>
        <w:numPr>
          <w:ilvl w:val="2"/>
          <w:numId w:val="17"/>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培训采取现场讲解与演示相结合的方法：</w:t>
      </w:r>
    </w:p>
    <w:p>
      <w:pPr>
        <w:numPr>
          <w:ilvl w:val="2"/>
          <w:numId w:val="17"/>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调试时投标方负责调试的人员对招标方相关工程技术人员及技术工人进行培训；</w:t>
      </w:r>
    </w:p>
    <w:p>
      <w:pPr>
        <w:numPr>
          <w:ilvl w:val="2"/>
          <w:numId w:val="17"/>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投标方提供铸管外壁打磨装置的使用说明书及电控使用说明书，并编制设备安全操作规程、设备操作规程。  </w:t>
      </w:r>
    </w:p>
    <w:p>
      <w:pPr>
        <w:widowControl w:val="0"/>
        <w:numPr>
          <w:ilvl w:val="1"/>
          <w:numId w:val="15"/>
        </w:numPr>
        <w:adjustRightInd/>
        <w:snapToGrid/>
        <w:spacing w:after="0" w:line="360" w:lineRule="auto"/>
        <w:jc w:val="both"/>
        <w:rPr>
          <w:rFonts w:ascii="宋体" w:hAnsi="宋体" w:eastAsia="宋体" w:cs="宋体"/>
          <w:color w:val="auto"/>
          <w:sz w:val="24"/>
          <w:highlight w:val="none"/>
        </w:rPr>
      </w:pPr>
      <w:r>
        <w:rPr>
          <w:rFonts w:hint="eastAsia" w:ascii="宋体" w:hAnsi="宋体" w:eastAsia="宋体" w:cs="宋体"/>
          <w:color w:val="auto"/>
          <w:sz w:val="24"/>
          <w:highlight w:val="none"/>
        </w:rPr>
        <w:t>备件和易损件技术要求</w:t>
      </w:r>
      <w:bookmarkEnd w:id="3"/>
    </w:p>
    <w:p>
      <w:pPr>
        <w:numPr>
          <w:ilvl w:val="2"/>
          <w:numId w:val="18"/>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投标方需向招标方提供设备标准配置备件及易损件清单。易损件清单须注明名称、规格型号、数量、优惠单价及生产厂家和公司。</w:t>
      </w:r>
    </w:p>
    <w:p>
      <w:pPr>
        <w:numPr>
          <w:ilvl w:val="2"/>
          <w:numId w:val="18"/>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投标方提供随机备件打磨头10个，打磨轴5根，皮带20条，主从动皮带轮各2件。</w:t>
      </w:r>
    </w:p>
    <w:p>
      <w:pPr>
        <w:widowControl w:val="0"/>
        <w:numPr>
          <w:ilvl w:val="0"/>
          <w:numId w:val="1"/>
        </w:numPr>
        <w:adjustRightInd/>
        <w:snapToGrid/>
        <w:spacing w:beforeLines="50" w:after="0" w:line="360" w:lineRule="auto"/>
        <w:jc w:val="both"/>
        <w:rPr>
          <w:rFonts w:ascii="宋体" w:hAnsi="宋体" w:eastAsia="宋体" w:cs="宋体"/>
          <w:b/>
          <w:bCs/>
          <w:color w:val="auto"/>
          <w:sz w:val="24"/>
          <w:highlight w:val="none"/>
        </w:rPr>
      </w:pPr>
      <w:bookmarkStart w:id="4" w:name="_Toc509309704"/>
      <w:r>
        <w:rPr>
          <w:rFonts w:hint="eastAsia" w:ascii="宋体" w:hAnsi="宋体" w:eastAsia="宋体" w:cs="宋体"/>
          <w:b/>
          <w:bCs/>
          <w:color w:val="auto"/>
          <w:sz w:val="24"/>
          <w:highlight w:val="none"/>
        </w:rPr>
        <w:t>设备包装、发运及安装</w:t>
      </w:r>
      <w:bookmarkEnd w:id="4"/>
    </w:p>
    <w:p>
      <w:pPr>
        <w:widowControl w:val="0"/>
        <w:numPr>
          <w:ilvl w:val="1"/>
          <w:numId w:val="19"/>
        </w:numPr>
        <w:adjustRightInd/>
        <w:snapToGrid/>
        <w:spacing w:after="0" w:line="360" w:lineRule="auto"/>
        <w:jc w:val="both"/>
        <w:rPr>
          <w:rFonts w:ascii="宋体" w:hAnsi="宋体" w:eastAsia="宋体" w:cs="宋体"/>
          <w:color w:val="auto"/>
          <w:sz w:val="24"/>
          <w:highlight w:val="none"/>
        </w:rPr>
      </w:pPr>
      <w:r>
        <w:rPr>
          <w:rFonts w:hint="eastAsia" w:ascii="宋体" w:hAnsi="宋体" w:eastAsia="宋体" w:cs="宋体"/>
          <w:color w:val="auto"/>
          <w:sz w:val="24"/>
          <w:highlight w:val="none"/>
        </w:rPr>
        <w:t>包装规定：适于长途运输，应防潮、防锈、防震等，适于陆地运输和整体吊装。</w:t>
      </w:r>
    </w:p>
    <w:p>
      <w:pPr>
        <w:widowControl w:val="0"/>
        <w:numPr>
          <w:ilvl w:val="1"/>
          <w:numId w:val="19"/>
        </w:numPr>
        <w:adjustRightInd/>
        <w:snapToGrid/>
        <w:spacing w:after="0" w:line="360" w:lineRule="auto"/>
        <w:jc w:val="both"/>
        <w:rPr>
          <w:rFonts w:ascii="宋体" w:hAnsi="宋体" w:eastAsia="宋体" w:cs="宋体"/>
          <w:color w:val="auto"/>
          <w:sz w:val="24"/>
          <w:highlight w:val="none"/>
        </w:rPr>
      </w:pPr>
      <w:r>
        <w:rPr>
          <w:rFonts w:hint="eastAsia" w:ascii="宋体" w:hAnsi="宋体" w:eastAsia="宋体" w:cs="宋体"/>
          <w:color w:val="auto"/>
          <w:sz w:val="24"/>
          <w:highlight w:val="none"/>
        </w:rPr>
        <w:t>运输规定：采取陆运方式到招标方指定地点。</w:t>
      </w:r>
    </w:p>
    <w:p>
      <w:pPr>
        <w:widowControl w:val="0"/>
        <w:numPr>
          <w:ilvl w:val="1"/>
          <w:numId w:val="19"/>
        </w:numPr>
        <w:adjustRightInd/>
        <w:snapToGrid/>
        <w:spacing w:after="0" w:line="360" w:lineRule="auto"/>
        <w:jc w:val="both"/>
        <w:rPr>
          <w:rFonts w:ascii="宋体" w:hAnsi="宋体" w:eastAsia="宋体" w:cs="宋体"/>
          <w:color w:val="auto"/>
          <w:sz w:val="24"/>
          <w:highlight w:val="none"/>
        </w:rPr>
      </w:pPr>
      <w:r>
        <w:rPr>
          <w:rFonts w:hint="eastAsia" w:ascii="宋体" w:hAnsi="宋体" w:eastAsia="宋体" w:cs="宋体"/>
          <w:color w:val="auto"/>
          <w:sz w:val="24"/>
          <w:highlight w:val="none"/>
        </w:rPr>
        <w:t>到货后的检查核对规定：按合同、技术协议、装箱清单。</w:t>
      </w:r>
    </w:p>
    <w:p>
      <w:pPr>
        <w:widowControl w:val="0"/>
        <w:numPr>
          <w:ilvl w:val="1"/>
          <w:numId w:val="19"/>
        </w:numPr>
        <w:adjustRightInd/>
        <w:snapToGrid/>
        <w:spacing w:after="0" w:line="360" w:lineRule="auto"/>
        <w:jc w:val="both"/>
        <w:rPr>
          <w:rFonts w:ascii="宋体" w:hAnsi="宋体" w:eastAsia="宋体" w:cs="宋体"/>
          <w:bCs/>
          <w:color w:val="auto"/>
          <w:sz w:val="24"/>
          <w:szCs w:val="24"/>
          <w:highlight w:val="none"/>
        </w:rPr>
      </w:pPr>
      <w:r>
        <w:rPr>
          <w:rFonts w:hint="eastAsia" w:ascii="宋体" w:hAnsi="宋体" w:eastAsia="宋体" w:cs="宋体"/>
          <w:color w:val="auto"/>
          <w:sz w:val="24"/>
          <w:highlight w:val="none"/>
        </w:rPr>
        <w:t>设备安装调试由投标方负责</w:t>
      </w:r>
      <w:r>
        <w:rPr>
          <w:rFonts w:hint="eastAsia" w:ascii="宋体" w:hAnsi="宋体" w:eastAsia="宋体" w:cs="宋体"/>
          <w:bCs/>
          <w:color w:val="auto"/>
          <w:sz w:val="24"/>
          <w:szCs w:val="24"/>
          <w:highlight w:val="none"/>
        </w:rPr>
        <w:t>。</w:t>
      </w:r>
    </w:p>
    <w:p>
      <w:pPr>
        <w:widowControl w:val="0"/>
        <w:numPr>
          <w:ilvl w:val="0"/>
          <w:numId w:val="1"/>
        </w:numPr>
        <w:adjustRightInd/>
        <w:snapToGrid/>
        <w:spacing w:beforeLines="50"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售后服务</w:t>
      </w:r>
    </w:p>
    <w:p>
      <w:pPr>
        <w:widowControl w:val="0"/>
        <w:numPr>
          <w:ilvl w:val="1"/>
          <w:numId w:val="20"/>
        </w:numPr>
        <w:adjustRightInd/>
        <w:snapToGrid/>
        <w:spacing w:after="0" w:line="360" w:lineRule="auto"/>
        <w:jc w:val="both"/>
        <w:rPr>
          <w:rFonts w:ascii="宋体" w:hAnsi="宋体" w:eastAsia="宋体" w:cs="宋体"/>
          <w:color w:val="auto"/>
          <w:sz w:val="24"/>
          <w:highlight w:val="none"/>
        </w:rPr>
      </w:pPr>
      <w:r>
        <w:rPr>
          <w:rFonts w:hint="eastAsia" w:ascii="宋体" w:hAnsi="宋体" w:eastAsia="宋体" w:cs="宋体"/>
          <w:color w:val="auto"/>
          <w:sz w:val="24"/>
          <w:highlight w:val="none"/>
        </w:rPr>
        <w:t>为保证铸管外壁打磨装置的良好运行，为生产提供必要的设备保障，投标方需派技术全面的技术人员进行指导。投标方保证所供货物是全新的、未使用过的，并完全符合合同规定的质量、规格和性能的要求，并对由于制造及材料缺陷而产生的故障负责。投标方所交产品的数量、规格、型号、质量等不符合同规定的，由投标方负责包换或包退，并承担调换或退货而支付的实际费用。因调换逾期者按逾期交货处理。在质保期内投标方收到通知应免费维修或更换有缺陷的货物或部件。交货时投标方应提供产品质量合格证明给招标方。</w:t>
      </w:r>
    </w:p>
    <w:p>
      <w:pPr>
        <w:widowControl w:val="0"/>
        <w:numPr>
          <w:ilvl w:val="1"/>
          <w:numId w:val="20"/>
        </w:numPr>
        <w:adjustRightInd/>
        <w:snapToGrid/>
        <w:spacing w:after="0" w:line="360" w:lineRule="auto"/>
        <w:jc w:val="both"/>
        <w:rPr>
          <w:rFonts w:ascii="宋体" w:hAnsi="宋体" w:eastAsia="宋体" w:cs="宋体"/>
          <w:color w:val="auto"/>
          <w:sz w:val="24"/>
          <w:highlight w:val="none"/>
        </w:rPr>
      </w:pPr>
      <w:r>
        <w:rPr>
          <w:rFonts w:hint="eastAsia" w:ascii="宋体" w:hAnsi="宋体" w:eastAsia="宋体" w:cs="宋体"/>
          <w:color w:val="auto"/>
          <w:sz w:val="24"/>
          <w:highlight w:val="none"/>
        </w:rPr>
        <w:t>投标方保证供货的所有设备、材料等(包括投标方的外购件在内)均符合技术说明书的规定。</w:t>
      </w:r>
    </w:p>
    <w:p>
      <w:pPr>
        <w:widowControl w:val="0"/>
        <w:numPr>
          <w:ilvl w:val="1"/>
          <w:numId w:val="20"/>
        </w:numPr>
        <w:adjustRightInd/>
        <w:snapToGrid/>
        <w:spacing w:after="0" w:line="360" w:lineRule="auto"/>
        <w:jc w:val="both"/>
        <w:rPr>
          <w:rFonts w:ascii="宋体" w:hAnsi="宋体" w:eastAsia="宋体" w:cs="宋体"/>
          <w:color w:val="auto"/>
          <w:sz w:val="24"/>
          <w:highlight w:val="none"/>
        </w:rPr>
      </w:pPr>
      <w:bookmarkStart w:id="5" w:name="_Hlk1688817"/>
      <w:r>
        <w:rPr>
          <w:rFonts w:hint="eastAsia" w:ascii="宋体" w:hAnsi="宋体" w:eastAsia="宋体" w:cs="宋体"/>
          <w:color w:val="auto"/>
          <w:sz w:val="24"/>
          <w:highlight w:val="none"/>
        </w:rPr>
        <w:t>设备质保期为招标方签署项目验收合格确认单后12个月。</w:t>
      </w:r>
      <w:bookmarkEnd w:id="5"/>
      <w:r>
        <w:rPr>
          <w:rFonts w:hint="eastAsia" w:ascii="宋体" w:hAnsi="宋体" w:eastAsia="宋体" w:cs="宋体"/>
          <w:color w:val="auto"/>
          <w:sz w:val="24"/>
          <w:highlight w:val="none"/>
          <w:lang w:val="zh-CN"/>
        </w:rPr>
        <w:t>因投标方原因导致修理或更换设备、部件的，则质保期为修理或更换后的设备、部件投入使用后12个月。</w:t>
      </w:r>
    </w:p>
    <w:p>
      <w:pPr>
        <w:widowControl w:val="0"/>
        <w:numPr>
          <w:ilvl w:val="1"/>
          <w:numId w:val="20"/>
        </w:numPr>
        <w:adjustRightInd/>
        <w:snapToGrid/>
        <w:spacing w:after="0" w:line="360" w:lineRule="auto"/>
        <w:jc w:val="both"/>
        <w:rPr>
          <w:rFonts w:ascii="宋体" w:hAnsi="宋体" w:eastAsia="宋体" w:cs="宋体"/>
          <w:color w:val="auto"/>
          <w:sz w:val="24"/>
          <w:highlight w:val="none"/>
        </w:rPr>
      </w:pPr>
      <w:r>
        <w:rPr>
          <w:rFonts w:hint="eastAsia" w:ascii="宋体" w:hAnsi="宋体" w:eastAsia="宋体" w:cs="宋体"/>
          <w:color w:val="auto"/>
          <w:sz w:val="24"/>
          <w:highlight w:val="none"/>
        </w:rPr>
        <w:t>质保期内免费维护服务内容如下：</w:t>
      </w:r>
    </w:p>
    <w:p>
      <w:pPr>
        <w:numPr>
          <w:ilvl w:val="2"/>
          <w:numId w:val="21"/>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故障处理：诊断、解决设备运行故障，对程序错误及缺陷进行排查处理。</w:t>
      </w:r>
    </w:p>
    <w:p>
      <w:pPr>
        <w:numPr>
          <w:ilvl w:val="2"/>
          <w:numId w:val="21"/>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技术咨询：解答用户使用中的常见问题。</w:t>
      </w:r>
    </w:p>
    <w:p>
      <w:pPr>
        <w:numPr>
          <w:ilvl w:val="2"/>
          <w:numId w:val="21"/>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定期检修：投标方需在质保期内为招标方提供检修、检查、保养服务。</w:t>
      </w:r>
    </w:p>
    <w:p>
      <w:pPr>
        <w:numPr>
          <w:ilvl w:val="2"/>
          <w:numId w:val="21"/>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以上维护服务，投标方将在接到招标方通知后2小时内通过电话、传真、E-Mail等形式进行故障排查，若确需现场排除故障投标方24小时内到达现场，直至故障排除为止。故障不排除，本系统无法正常运行，人员不得撤离。</w:t>
      </w:r>
    </w:p>
    <w:p>
      <w:pPr>
        <w:numPr>
          <w:ilvl w:val="2"/>
          <w:numId w:val="21"/>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产品在合同规定的质保期内，发生损坏和缺陷，或者由于响应错误、材料、工艺、制造、装配、发送等原因造成的损坏，或是不满足合同的要求，招标方书面方式通知投标方，投标方将免费更换这些有损坏和有缺陷的设备；质保期外的零配件更换，实行成本价并及时提供。</w:t>
      </w:r>
    </w:p>
    <w:p>
      <w:pPr>
        <w:numPr>
          <w:ilvl w:val="2"/>
          <w:numId w:val="21"/>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在接到招标方通知后，投标方虽经努力改进，但仍不满足合同要求，则招标方可按合同处理或更换这些设备，由此引起的费用由投标方承担。</w:t>
      </w:r>
    </w:p>
    <w:p>
      <w:pPr>
        <w:numPr>
          <w:ilvl w:val="2"/>
          <w:numId w:val="21"/>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质保期内设备经维修或更换后仍无法达到质量标准，招标方有权退货并向投标方索赔。</w:t>
      </w:r>
    </w:p>
    <w:p>
      <w:pPr>
        <w:numPr>
          <w:ilvl w:val="2"/>
          <w:numId w:val="21"/>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质保期内投标方借故推脱或无理由拒绝招标方提出的维修、更换服务请求，招标方可以自行解决。维修工程量和维修费用经双方确认后（投标方得到招标方通知后，7日内投标方不配合确认的视为投标方接受），从质保金内扣除。</w:t>
      </w:r>
    </w:p>
    <w:p>
      <w:pPr>
        <w:numPr>
          <w:ilvl w:val="2"/>
          <w:numId w:val="21"/>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质保期内若因招标方原因造成的设备损坏，投标方对治理设备的维修、更换服务只收取成本费。</w:t>
      </w:r>
    </w:p>
    <w:p>
      <w:pPr>
        <w:widowControl w:val="0"/>
        <w:numPr>
          <w:ilvl w:val="0"/>
          <w:numId w:val="1"/>
        </w:numPr>
        <w:adjustRightInd/>
        <w:snapToGrid/>
        <w:spacing w:beforeLines="50" w:after="0" w:line="360" w:lineRule="auto"/>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投标书内容和要求</w:t>
      </w:r>
    </w:p>
    <w:p>
      <w:pPr>
        <w:widowControl w:val="0"/>
        <w:numPr>
          <w:ilvl w:val="1"/>
          <w:numId w:val="22"/>
        </w:numPr>
        <w:adjustRightInd/>
        <w:snapToGrid/>
        <w:spacing w:after="0" w:line="360" w:lineRule="auto"/>
        <w:jc w:val="both"/>
        <w:rPr>
          <w:rFonts w:ascii="宋体" w:hAnsi="宋体" w:eastAsia="宋体" w:cs="宋体"/>
          <w:color w:val="auto"/>
          <w:sz w:val="24"/>
          <w:highlight w:val="none"/>
        </w:rPr>
      </w:pPr>
      <w:r>
        <w:rPr>
          <w:rFonts w:hint="eastAsia" w:ascii="宋体" w:hAnsi="宋体" w:eastAsia="宋体" w:cs="宋体"/>
          <w:color w:val="auto"/>
          <w:sz w:val="24"/>
          <w:highlight w:val="none"/>
        </w:rPr>
        <w:t>投标文件中必须包含以下材料：</w:t>
      </w:r>
    </w:p>
    <w:p>
      <w:pPr>
        <w:numPr>
          <w:ilvl w:val="2"/>
          <w:numId w:val="23"/>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整个</w:t>
      </w:r>
      <w:r>
        <w:rPr>
          <w:rFonts w:hint="eastAsia" w:ascii="宋体" w:hAnsi="宋体" w:eastAsia="宋体"/>
          <w:color w:val="auto"/>
          <w:sz w:val="24"/>
          <w:szCs w:val="24"/>
          <w:highlight w:val="none"/>
          <w:lang w:eastAsia="zh-CN"/>
        </w:rPr>
        <w:t>设备</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lang w:eastAsia="zh-CN"/>
        </w:rPr>
        <w:t>方案</w:t>
      </w:r>
      <w:r>
        <w:rPr>
          <w:rFonts w:hint="eastAsia" w:ascii="宋体" w:hAnsi="宋体" w:eastAsia="宋体"/>
          <w:color w:val="auto"/>
          <w:sz w:val="24"/>
          <w:szCs w:val="24"/>
          <w:highlight w:val="none"/>
        </w:rPr>
        <w:t>图纸。</w:t>
      </w:r>
    </w:p>
    <w:p>
      <w:pPr>
        <w:numPr>
          <w:ilvl w:val="2"/>
          <w:numId w:val="23"/>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主要设备</w:t>
      </w:r>
      <w:r>
        <w:rPr>
          <w:rFonts w:hint="eastAsia" w:ascii="宋体" w:hAnsi="宋体" w:eastAsia="宋体"/>
          <w:color w:val="auto"/>
          <w:sz w:val="24"/>
          <w:szCs w:val="24"/>
          <w:highlight w:val="none"/>
          <w:lang w:eastAsia="zh-CN"/>
        </w:rPr>
        <w:t>清单</w:t>
      </w:r>
      <w:r>
        <w:rPr>
          <w:rFonts w:hint="eastAsia" w:ascii="宋体" w:hAnsi="宋体" w:eastAsia="宋体"/>
          <w:color w:val="auto"/>
          <w:sz w:val="24"/>
          <w:szCs w:val="24"/>
          <w:highlight w:val="none"/>
        </w:rPr>
        <w:t>，必须要列出生产厂家。</w:t>
      </w:r>
    </w:p>
    <w:tbl>
      <w:tblPr>
        <w:tblStyle w:val="6"/>
        <w:tblW w:w="8522" w:type="dxa"/>
        <w:jc w:val="center"/>
        <w:tblInd w:w="0" w:type="dxa"/>
        <w:tblLayout w:type="fixed"/>
        <w:tblCellMar>
          <w:top w:w="0" w:type="dxa"/>
          <w:left w:w="108" w:type="dxa"/>
          <w:bottom w:w="0" w:type="dxa"/>
          <w:right w:w="108" w:type="dxa"/>
        </w:tblCellMar>
      </w:tblPr>
      <w:tblGrid>
        <w:gridCol w:w="946"/>
        <w:gridCol w:w="2220"/>
        <w:gridCol w:w="1320"/>
        <w:gridCol w:w="810"/>
        <w:gridCol w:w="840"/>
        <w:gridCol w:w="1339"/>
        <w:gridCol w:w="1047"/>
      </w:tblGrid>
      <w:tr>
        <w:tblPrEx>
          <w:tblLayout w:type="fixed"/>
          <w:tblCellMar>
            <w:top w:w="0" w:type="dxa"/>
            <w:left w:w="108" w:type="dxa"/>
            <w:bottom w:w="0" w:type="dxa"/>
            <w:right w:w="108" w:type="dxa"/>
          </w:tblCellMar>
        </w:tblPrEx>
        <w:trPr>
          <w:trHeight w:val="340"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220"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设备名称</w:t>
            </w:r>
          </w:p>
        </w:tc>
        <w:tc>
          <w:tcPr>
            <w:tcW w:w="1320"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w:t>
            </w:r>
          </w:p>
        </w:tc>
        <w:tc>
          <w:tcPr>
            <w:tcW w:w="810"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材质</w:t>
            </w:r>
          </w:p>
        </w:tc>
        <w:tc>
          <w:tcPr>
            <w:tcW w:w="840"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33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生产厂家</w:t>
            </w:r>
          </w:p>
        </w:tc>
        <w:tc>
          <w:tcPr>
            <w:tcW w:w="1047"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Layout w:type="fixed"/>
          <w:tblCellMar>
            <w:top w:w="0" w:type="dxa"/>
            <w:left w:w="108" w:type="dxa"/>
            <w:bottom w:w="0" w:type="dxa"/>
            <w:right w:w="108" w:type="dxa"/>
          </w:tblCellMar>
        </w:tblPrEx>
        <w:trPr>
          <w:trHeight w:val="24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20"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打磨小车</w:t>
            </w:r>
          </w:p>
        </w:tc>
        <w:tc>
          <w:tcPr>
            <w:tcW w:w="1320"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p>
        </w:tc>
        <w:tc>
          <w:tcPr>
            <w:tcW w:w="810"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p>
        </w:tc>
        <w:tc>
          <w:tcPr>
            <w:tcW w:w="840"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p>
        </w:tc>
        <w:tc>
          <w:tcPr>
            <w:tcW w:w="133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p>
        </w:tc>
        <w:tc>
          <w:tcPr>
            <w:tcW w:w="1047"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p>
        </w:tc>
      </w:tr>
      <w:tr>
        <w:tblPrEx>
          <w:tblLayout w:type="fixed"/>
          <w:tblCellMar>
            <w:top w:w="0" w:type="dxa"/>
            <w:left w:w="108" w:type="dxa"/>
            <w:bottom w:w="0" w:type="dxa"/>
            <w:right w:w="108" w:type="dxa"/>
          </w:tblCellMar>
        </w:tblPrEx>
        <w:trPr>
          <w:trHeight w:val="340"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20" w:type="dxa"/>
            <w:tcBorders>
              <w:top w:val="single" w:color="auto" w:sz="4" w:space="0"/>
              <w:left w:val="nil"/>
              <w:bottom w:val="single" w:color="auto" w:sz="4" w:space="0"/>
              <w:right w:val="single" w:color="auto" w:sz="4" w:space="0"/>
            </w:tcBorders>
            <w:vAlign w:val="center"/>
          </w:tcPr>
          <w:p>
            <w:pPr>
              <w:spacing w:after="0"/>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20"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p>
        </w:tc>
        <w:tc>
          <w:tcPr>
            <w:tcW w:w="810"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p>
        </w:tc>
        <w:tc>
          <w:tcPr>
            <w:tcW w:w="840"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p>
        </w:tc>
        <w:tc>
          <w:tcPr>
            <w:tcW w:w="133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p>
        </w:tc>
        <w:tc>
          <w:tcPr>
            <w:tcW w:w="1047"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p>
        </w:tc>
      </w:tr>
      <w:tr>
        <w:tblPrEx>
          <w:tblLayout w:type="fixed"/>
          <w:tblCellMar>
            <w:top w:w="0" w:type="dxa"/>
            <w:left w:w="108" w:type="dxa"/>
            <w:bottom w:w="0" w:type="dxa"/>
            <w:right w:w="108" w:type="dxa"/>
          </w:tblCellMar>
        </w:tblPrEx>
        <w:trPr>
          <w:trHeight w:val="340"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20" w:type="dxa"/>
            <w:tcBorders>
              <w:top w:val="single" w:color="auto" w:sz="4" w:space="0"/>
              <w:left w:val="nil"/>
              <w:bottom w:val="single" w:color="auto" w:sz="4" w:space="0"/>
              <w:right w:val="single" w:color="auto" w:sz="4" w:space="0"/>
            </w:tcBorders>
            <w:vAlign w:val="center"/>
          </w:tcPr>
          <w:p>
            <w:pPr>
              <w:spacing w:after="0"/>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20"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p>
        </w:tc>
        <w:tc>
          <w:tcPr>
            <w:tcW w:w="810"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p>
        </w:tc>
        <w:tc>
          <w:tcPr>
            <w:tcW w:w="840"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p>
        </w:tc>
        <w:tc>
          <w:tcPr>
            <w:tcW w:w="133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p>
        </w:tc>
        <w:tc>
          <w:tcPr>
            <w:tcW w:w="1047"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color w:val="auto"/>
                <w:sz w:val="24"/>
                <w:szCs w:val="24"/>
                <w:highlight w:val="none"/>
              </w:rPr>
            </w:pPr>
          </w:p>
        </w:tc>
      </w:tr>
    </w:tbl>
    <w:p>
      <w:pPr>
        <w:tabs>
          <w:tab w:val="left" w:pos="735"/>
        </w:tabs>
        <w:spacing w:beforeLines="50" w:after="0"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说明：上表格式中序号仅为举例，不限此数，按需列出。</w:t>
      </w:r>
    </w:p>
    <w:p>
      <w:pPr>
        <w:numPr>
          <w:ilvl w:val="2"/>
          <w:numId w:val="23"/>
        </w:numPr>
        <w:tabs>
          <w:tab w:val="left" w:pos="0"/>
        </w:tabs>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投标人提供的技术标书，应当包括如下内容：</w:t>
      </w:r>
    </w:p>
    <w:p>
      <w:pPr>
        <w:spacing w:after="0" w:line="360" w:lineRule="auto"/>
        <w:ind w:left="880" w:left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附件1：技术方案详述</w:t>
      </w:r>
    </w:p>
    <w:p>
      <w:pPr>
        <w:spacing w:after="0" w:line="360" w:lineRule="auto"/>
        <w:ind w:left="880" w:left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附件2：主要设备配置、供货范围及设计、设备分交表</w:t>
      </w:r>
    </w:p>
    <w:p>
      <w:pPr>
        <w:spacing w:after="0" w:line="360" w:lineRule="auto"/>
        <w:ind w:left="880" w:left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附件3：技术资料及其交付进度</w:t>
      </w:r>
    </w:p>
    <w:p>
      <w:pPr>
        <w:spacing w:after="0" w:line="360" w:lineRule="auto"/>
        <w:ind w:left="880" w:left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附件4：施工技术及实施方案</w:t>
      </w:r>
    </w:p>
    <w:p>
      <w:pPr>
        <w:spacing w:after="0" w:line="360" w:lineRule="auto"/>
        <w:ind w:left="880" w:left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附件5：人员培训</w:t>
      </w:r>
    </w:p>
    <w:p>
      <w:pPr>
        <w:spacing w:after="0" w:line="360" w:lineRule="auto"/>
        <w:ind w:left="880" w:left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附件6：技术服务</w:t>
      </w:r>
    </w:p>
    <w:p>
      <w:pPr>
        <w:spacing w:after="0" w:line="360" w:lineRule="auto"/>
        <w:ind w:left="880" w:left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附件7；保证值和考核办法</w:t>
      </w:r>
    </w:p>
    <w:p>
      <w:pPr>
        <w:spacing w:after="0" w:line="360" w:lineRule="auto"/>
        <w:ind w:left="880" w:left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附件8：平立面工艺布置图及其他附图</w:t>
      </w:r>
    </w:p>
    <w:p>
      <w:pPr>
        <w:spacing w:after="0" w:line="360" w:lineRule="auto"/>
        <w:ind w:left="880" w:left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附件9：专利及技术诀窍等</w:t>
      </w:r>
    </w:p>
    <w:p>
      <w:pPr>
        <w:spacing w:after="0" w:line="360" w:lineRule="auto"/>
        <w:ind w:left="880" w:left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附件10：设备制造标准及出厂前检验</w:t>
      </w:r>
    </w:p>
    <w:p>
      <w:pPr>
        <w:spacing w:after="0" w:line="360" w:lineRule="auto"/>
        <w:ind w:left="880" w:left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附件11：备件及消耗件清单</w:t>
      </w:r>
    </w:p>
    <w:p>
      <w:pPr>
        <w:spacing w:after="0" w:line="360" w:lineRule="auto"/>
        <w:ind w:left="880" w:left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附件12：子供货商明细表</w:t>
      </w:r>
    </w:p>
    <w:p>
      <w:pPr>
        <w:spacing w:after="0" w:line="360" w:lineRule="auto"/>
        <w:ind w:left="880" w:left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附件13：设备交货及建设进度</w:t>
      </w:r>
    </w:p>
    <w:p>
      <w:pPr>
        <w:spacing w:after="0" w:line="360" w:lineRule="auto"/>
        <w:ind w:left="880" w:left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附件14：资质及业绩表</w:t>
      </w:r>
    </w:p>
    <w:p>
      <w:pPr>
        <w:spacing w:after="0" w:line="360" w:lineRule="auto"/>
        <w:rPr>
          <w:rFonts w:ascii="宋体" w:hAnsi="宋体" w:eastAsia="宋体" w:cs="宋体"/>
          <w:color w:val="auto"/>
          <w:sz w:val="24"/>
          <w:szCs w:val="24"/>
          <w:highlight w:val="none"/>
        </w:rPr>
      </w:pPr>
    </w:p>
    <w:sectPr>
      <w:footerReference r:id="rId3" w:type="default"/>
      <w:pgSz w:w="11906" w:h="16838"/>
      <w:pgMar w:top="1440" w:right="1800" w:bottom="1440" w:left="1800" w:header="708" w:footer="708"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Rounded MT Bold">
    <w:altName w:val="Arial"/>
    <w:panose1 w:val="020F0704030504030204"/>
    <w:charset w:val="00"/>
    <w:family w:val="auto"/>
    <w:pitch w:val="default"/>
    <w:sig w:usb0="00000000" w:usb1="00000000" w:usb2="00000000" w:usb3="00000000" w:csb0="20000001" w:csb1="00000000"/>
  </w:font>
  <w:font w:name="RomanS">
    <w:panose1 w:val="02000400000000000000"/>
    <w:charset w:val="00"/>
    <w:family w:val="auto"/>
    <w:pitch w:val="default"/>
    <w:sig w:usb0="00000207" w:usb1="00000000" w:usb2="00000000"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Eurostile Extended">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10</w:t>
    </w:r>
    <w:r>
      <w:rPr>
        <w:rFonts w:hint="eastAsia"/>
        <w:lang w:eastAsia="zh-CN"/>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4C16A"/>
    <w:multiLevelType w:val="multilevel"/>
    <w:tmpl w:val="6084C16A"/>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6084C1BA"/>
    <w:multiLevelType w:val="multilevel"/>
    <w:tmpl w:val="6084C1BA"/>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6084C40A"/>
    <w:multiLevelType w:val="multilevel"/>
    <w:tmpl w:val="6084C40A"/>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6084C421"/>
    <w:multiLevelType w:val="multilevel"/>
    <w:tmpl w:val="6084C421"/>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6084C43A"/>
    <w:multiLevelType w:val="singleLevel"/>
    <w:tmpl w:val="6084C43A"/>
    <w:lvl w:ilvl="0" w:tentative="0">
      <w:start w:val="1"/>
      <w:numFmt w:val="decimalEnclosedCircleChinese"/>
      <w:suff w:val="nothing"/>
      <w:lvlText w:val="%1　"/>
      <w:lvlJc w:val="left"/>
      <w:pPr>
        <w:ind w:left="0" w:firstLine="400"/>
      </w:pPr>
      <w:rPr>
        <w:rFonts w:hint="eastAsia"/>
      </w:rPr>
    </w:lvl>
  </w:abstractNum>
  <w:abstractNum w:abstractNumId="5">
    <w:nsid w:val="6084C568"/>
    <w:multiLevelType w:val="singleLevel"/>
    <w:tmpl w:val="6084C568"/>
    <w:lvl w:ilvl="0" w:tentative="0">
      <w:start w:val="1"/>
      <w:numFmt w:val="decimalEnclosedCircleChinese"/>
      <w:suff w:val="nothing"/>
      <w:lvlText w:val="%1　"/>
      <w:lvlJc w:val="left"/>
      <w:pPr>
        <w:ind w:left="0" w:firstLine="400"/>
      </w:pPr>
      <w:rPr>
        <w:rFonts w:hint="eastAsia"/>
      </w:rPr>
    </w:lvl>
  </w:abstractNum>
  <w:abstractNum w:abstractNumId="6">
    <w:nsid w:val="6084C584"/>
    <w:multiLevelType w:val="singleLevel"/>
    <w:tmpl w:val="6084C584"/>
    <w:lvl w:ilvl="0" w:tentative="0">
      <w:start w:val="1"/>
      <w:numFmt w:val="decimalEnclosedCircleChinese"/>
      <w:suff w:val="nothing"/>
      <w:lvlText w:val="%1　"/>
      <w:lvlJc w:val="left"/>
      <w:pPr>
        <w:ind w:left="3711" w:firstLine="400"/>
      </w:pPr>
      <w:rPr>
        <w:rFonts w:hint="eastAsia"/>
      </w:rPr>
    </w:lvl>
  </w:abstractNum>
  <w:abstractNum w:abstractNumId="7">
    <w:nsid w:val="6084C5C3"/>
    <w:multiLevelType w:val="multilevel"/>
    <w:tmpl w:val="6084C5C3"/>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6084C60D"/>
    <w:multiLevelType w:val="multilevel"/>
    <w:tmpl w:val="6084C60D"/>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9">
    <w:nsid w:val="6084C6EA"/>
    <w:multiLevelType w:val="multilevel"/>
    <w:tmpl w:val="6084C6EA"/>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6084D148"/>
    <w:multiLevelType w:val="multilevel"/>
    <w:tmpl w:val="6084D148"/>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6084D16D"/>
    <w:multiLevelType w:val="multilevel"/>
    <w:tmpl w:val="6084D16D"/>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6084DCED"/>
    <w:multiLevelType w:val="multilevel"/>
    <w:tmpl w:val="6084DCED"/>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6084E3D0"/>
    <w:multiLevelType w:val="multilevel"/>
    <w:tmpl w:val="6084E3D0"/>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4">
    <w:nsid w:val="6084E3E4"/>
    <w:multiLevelType w:val="multilevel"/>
    <w:tmpl w:val="6084E3E4"/>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6084E403"/>
    <w:multiLevelType w:val="multilevel"/>
    <w:tmpl w:val="6084E403"/>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6084E42B"/>
    <w:multiLevelType w:val="multilevel"/>
    <w:tmpl w:val="6084E42B"/>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6084E44C"/>
    <w:multiLevelType w:val="multilevel"/>
    <w:tmpl w:val="6084E44C"/>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8">
    <w:nsid w:val="6084E47C"/>
    <w:multiLevelType w:val="multilevel"/>
    <w:tmpl w:val="6084E47C"/>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9">
    <w:nsid w:val="6084E48F"/>
    <w:multiLevelType w:val="multilevel"/>
    <w:tmpl w:val="6084E48F"/>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0">
    <w:nsid w:val="6084E843"/>
    <w:multiLevelType w:val="multilevel"/>
    <w:tmpl w:val="6084E843"/>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1">
    <w:nsid w:val="60878222"/>
    <w:multiLevelType w:val="multilevel"/>
    <w:tmpl w:val="60878222"/>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2">
    <w:nsid w:val="6088EF90"/>
    <w:multiLevelType w:val="multilevel"/>
    <w:tmpl w:val="6088EF90"/>
    <w:lvl w:ilvl="0" w:tentative="0">
      <w:start w:val="1"/>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 w:numId="8">
    <w:abstractNumId w:val="7"/>
  </w:num>
  <w:num w:numId="9">
    <w:abstractNumId w:val="8"/>
  </w:num>
  <w:num w:numId="10">
    <w:abstractNumId w:val="9"/>
  </w:num>
  <w:num w:numId="11">
    <w:abstractNumId w:val="21"/>
  </w:num>
  <w:num w:numId="12">
    <w:abstractNumId w:val="10"/>
  </w:num>
  <w:num w:numId="13">
    <w:abstractNumId w:val="11"/>
  </w:num>
  <w:num w:numId="14">
    <w:abstractNumId w:val="20"/>
  </w:num>
  <w:num w:numId="15">
    <w:abstractNumId w:val="12"/>
  </w:num>
  <w:num w:numId="16">
    <w:abstractNumId w:val="13"/>
  </w:num>
  <w:num w:numId="17">
    <w:abstractNumId w:val="22"/>
  </w:num>
  <w:num w:numId="18">
    <w:abstractNumId w:val="14"/>
  </w:num>
  <w:num w:numId="19">
    <w:abstractNumId w:val="15"/>
  </w:num>
  <w:num w:numId="20">
    <w:abstractNumId w:val="16"/>
  </w:num>
  <w:num w:numId="21">
    <w:abstractNumId w:val="17"/>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spaceForUL/>
    <w:doNotLeaveBackslashAlone/>
    <w:ulTrailSpace/>
    <w:doNotExpandShiftReturn/>
    <w:useFELayout/>
    <w:compatSetting w:name="compatibilityMode" w:uri="http://schemas.microsoft.com/office/word" w:val="12"/>
  </w:compat>
  <w:rsids>
    <w:rsidRoot w:val="0057584C"/>
    <w:rsid w:val="0057584C"/>
    <w:rsid w:val="00B27579"/>
    <w:rsid w:val="0A563128"/>
    <w:rsid w:val="0DEF33E2"/>
    <w:rsid w:val="130A13B6"/>
    <w:rsid w:val="130F2E25"/>
    <w:rsid w:val="1321087D"/>
    <w:rsid w:val="1A0E3010"/>
    <w:rsid w:val="1C3460D4"/>
    <w:rsid w:val="200D3269"/>
    <w:rsid w:val="237E2708"/>
    <w:rsid w:val="27EA081D"/>
    <w:rsid w:val="32C62927"/>
    <w:rsid w:val="383D06F7"/>
    <w:rsid w:val="40A407DB"/>
    <w:rsid w:val="4657216A"/>
    <w:rsid w:val="4A48683B"/>
    <w:rsid w:val="4DA2012D"/>
    <w:rsid w:val="54586CD2"/>
    <w:rsid w:val="5D484AA4"/>
    <w:rsid w:val="6B9A42D4"/>
    <w:rsid w:val="6DE568A3"/>
    <w:rsid w:val="6F9405CA"/>
    <w:rsid w:val="71B91F2B"/>
    <w:rsid w:val="722B55DA"/>
    <w:rsid w:val="72474C25"/>
    <w:rsid w:val="77293C14"/>
    <w:rsid w:val="7A724384"/>
    <w:rsid w:val="7F78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link w:val="7"/>
    <w:qFormat/>
    <w:uiPriority w:val="0"/>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character" w:customStyle="1" w:styleId="7">
    <w:name w:val="页脚 Char"/>
    <w:basedOn w:val="5"/>
    <w:link w:val="3"/>
    <w:semiHidden/>
    <w:qFormat/>
    <w:uiPriority w:val="0"/>
    <w:rPr>
      <w:rFonts w:ascii="Tahoma" w:hAnsi="Tahoma"/>
      <w:sz w:val="18"/>
      <w:szCs w:val="18"/>
    </w:rPr>
  </w:style>
  <w:style w:type="character" w:customStyle="1" w:styleId="8">
    <w:name w:val="页眉 Char"/>
    <w:basedOn w:val="5"/>
    <w:link w:val="4"/>
    <w:semiHidden/>
    <w:qFormat/>
    <w:uiPriority w:val="0"/>
    <w:rPr>
      <w:rFonts w:ascii="Tahoma" w:hAnsi="Tahoma"/>
      <w:sz w:val="18"/>
      <w:szCs w:val="18"/>
    </w:rPr>
  </w:style>
  <w:style w:type="paragraph" w:customStyle="1" w:styleId="9">
    <w:name w:val="引文目录标题1"/>
    <w:basedOn w:val="1"/>
    <w:next w:val="1"/>
    <w:qFormat/>
    <w:uiPriority w:val="0"/>
    <w:pPr>
      <w:widowControl w:val="0"/>
      <w:snapToGrid/>
      <w:spacing w:before="120" w:after="0" w:line="398" w:lineRule="atLeast"/>
      <w:jc w:val="both"/>
      <w:textAlignment w:val="baseline"/>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984</Words>
  <Characters>5609</Characters>
  <Lines>46</Lines>
  <Paragraphs>13</Paragraphs>
  <ScaleCrop>false</ScaleCrop>
  <LinksUpToDate>false</LinksUpToDate>
  <CharactersWithSpaces>6580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Administrator</cp:lastModifiedBy>
  <dcterms:modified xsi:type="dcterms:W3CDTF">2021-04-28T05:18:45Z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