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07</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8</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13XSMJZJ</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消失模浇注机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张  工</w:t>
      </w:r>
      <w:r>
        <w:rPr>
          <w:rFonts w:hint="eastAsia" w:ascii="宋体" w:hAnsi="宋体" w:eastAsia="宋体" w:cs="Times New Roman"/>
          <w:sz w:val="24"/>
          <w:szCs w:val="24"/>
          <w:highlight w:val="none"/>
          <w:lang w:val="en-US" w:eastAsia="zh-CN"/>
        </w:rPr>
        <w:t xml:space="preserve">   181553</w:t>
      </w:r>
      <w:r>
        <w:rPr>
          <w:rFonts w:hint="eastAsia" w:ascii="宋体" w:hAnsi="宋体" w:cs="Times New Roman"/>
          <w:sz w:val="24"/>
          <w:szCs w:val="24"/>
          <w:highlight w:val="none"/>
          <w:lang w:val="en-US" w:eastAsia="zh-CN"/>
        </w:rPr>
        <w:t xml:space="preserve">69100  </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铸锻部：       陈  工   15555372920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bCs/>
          <w:color w:val="FF0000"/>
          <w:sz w:val="24"/>
          <w:szCs w:val="24"/>
          <w:highlight w:val="none"/>
          <w:lang w:val="en-US" w:eastAsia="zh-CN"/>
        </w:rPr>
        <w:t>24</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color w:val="FF0000"/>
          <w:sz w:val="24"/>
          <w:szCs w:val="24"/>
          <w:highlight w:val="none"/>
          <w:lang w:val="en-US" w:eastAsia="zh-CN"/>
        </w:rPr>
        <w:t>27</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bookmarkStart w:id="0" w:name="_GoBack"/>
      <w:bookmarkEnd w:id="0"/>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叁</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24</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szCs w:val="24"/>
        </w:rPr>
        <w:t>拟付款方式：</w:t>
      </w:r>
      <w:r>
        <w:rPr>
          <w:rFonts w:hint="eastAsia" w:ascii="宋体" w:hAnsi="宋体"/>
          <w:sz w:val="24"/>
          <w:szCs w:val="24"/>
          <w:lang w:val="en-US" w:eastAsia="zh-CN"/>
        </w:rPr>
        <w:t>货到安装调试完毕且验收合格后付60%，正常使用3个月后付30%，质保10%一年无异议后付清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rPr>
        <w:t>B类</w:t>
      </w:r>
      <w:r>
        <w:rPr>
          <w:rFonts w:hint="eastAsia" w:ascii="宋体" w:hAnsi="宋体"/>
          <w:sz w:val="24"/>
          <w:szCs w:val="24"/>
          <w:highlight w:val="none"/>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default"/>
          <w:b w:val="0"/>
          <w:bCs/>
          <w:color w:val="auto"/>
          <w:sz w:val="28"/>
          <w:szCs w:val="28"/>
          <w:highlight w:val="none"/>
          <w:lang w:val="en-US" w:eastAsia="zh-CN"/>
        </w:rPr>
      </w:pPr>
      <w:r>
        <w:rPr>
          <w:rFonts w:hint="eastAsia"/>
          <w:b w:val="0"/>
          <w:bCs/>
          <w:color w:val="auto"/>
          <w:sz w:val="28"/>
          <w:szCs w:val="28"/>
          <w:highlight w:val="none"/>
          <w:lang w:val="en-US" w:eastAsia="zh-CN"/>
        </w:rPr>
        <w:t>1、</w:t>
      </w: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rPr>
        <w:t>消失模浇注机</w:t>
      </w:r>
      <w:r>
        <w:rPr>
          <w:rFonts w:hint="eastAsia" w:ascii="仿宋_GB2312" w:hAnsi="仿宋_GB2312" w:eastAsia="仿宋_GB2312" w:cs="仿宋_GB2312"/>
          <w:b/>
          <w:bCs/>
          <w:color w:val="FF0000"/>
          <w:sz w:val="28"/>
          <w:szCs w:val="28"/>
          <w:u w:val="none"/>
          <w:lang w:eastAsia="zh-CN"/>
        </w:rPr>
        <w:t>一套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 w:val="0"/>
          <w:bCs/>
          <w:color w:val="auto"/>
          <w:kern w:val="2"/>
          <w:sz w:val="28"/>
          <w:szCs w:val="28"/>
          <w:highlight w:val="none"/>
          <w:lang w:val="en-US" w:eastAsia="zh-CN" w:bidi="ar-SA"/>
        </w:rPr>
        <w:t>3、投标方需要来我公司实地勘察现场情况并与我方技术、生产进行技术交流后方可参与投标；</w:t>
      </w:r>
    </w:p>
    <w:p>
      <w:pPr>
        <w:pStyle w:val="2"/>
        <w:numPr>
          <w:ilvl w:val="0"/>
          <w:numId w:val="0"/>
        </w:numPr>
        <w:ind w:leftChars="0"/>
        <w:rPr>
          <w:rFonts w:hint="default"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 w:val="0"/>
          <w:bCs/>
          <w:color w:val="auto"/>
          <w:kern w:val="2"/>
          <w:sz w:val="28"/>
          <w:szCs w:val="28"/>
          <w:highlight w:val="none"/>
          <w:lang w:val="en-US" w:eastAsia="zh-CN" w:bidi="ar-SA"/>
        </w:rPr>
        <w:t>4、供货单位负责设备的指导安装、调试和人员培训工作。</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rPr>
        <w:t>消失模浇注机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654D47"/>
    <w:rsid w:val="1233141D"/>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D7F27C8"/>
    <w:rsid w:val="2E3D1B0F"/>
    <w:rsid w:val="2E8C696D"/>
    <w:rsid w:val="2EB064E5"/>
    <w:rsid w:val="2EB97BA5"/>
    <w:rsid w:val="2F240878"/>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327905"/>
    <w:rsid w:val="536C262F"/>
    <w:rsid w:val="536D4073"/>
    <w:rsid w:val="53B74312"/>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4A1494"/>
    <w:rsid w:val="5E611270"/>
    <w:rsid w:val="5EB2026E"/>
    <w:rsid w:val="5F275132"/>
    <w:rsid w:val="5F3724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2021-08-07T03:33:25Z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