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反渗透膜技术要求</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投标单位可以是生产厂家或代理厂家，若是代理厂家，需要生产厂家唯一授权。</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业绩：生产厂家或代理厂家至少有1份及以上单份合同600只以上反渗透膜采购或项目业绩证明。</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技术要求</w:t>
      </w:r>
    </w:p>
    <w:p>
      <w:pPr>
        <w:pStyle w:val="2"/>
        <w:rPr>
          <w:rFonts w:hint="eastAsia" w:ascii="宋体" w:hAnsi="宋体" w:eastAsia="宋体" w:cs="宋体"/>
          <w:color w:val="0000FF"/>
          <w:sz w:val="28"/>
          <w:szCs w:val="28"/>
          <w:lang w:val="en-US" w:eastAsia="zh-CN"/>
        </w:rPr>
      </w:pPr>
      <w:r>
        <w:rPr>
          <w:rFonts w:hint="eastAsia" w:ascii="宋体" w:hAnsi="宋体" w:eastAsia="宋体" w:cs="宋体"/>
          <w:sz w:val="28"/>
          <w:szCs w:val="28"/>
          <w:lang w:val="en-US" w:eastAsia="zh-CN"/>
        </w:rPr>
        <w:t xml:space="preserve">3.1 </w:t>
      </w:r>
      <w:r>
        <w:rPr>
          <w:rFonts w:hint="eastAsia" w:ascii="宋体" w:hAnsi="宋体" w:eastAsia="宋体" w:cs="宋体"/>
          <w:color w:val="0000FF"/>
          <w:sz w:val="28"/>
          <w:szCs w:val="28"/>
          <w:lang w:val="en-US" w:eastAsia="zh-CN"/>
        </w:rPr>
        <w:t>单只膜运行通量≤19L/㎡h，单只反渗透有效膜面积≥400ft2 ，单套产水量大于77.5T/h,单只膜稳定脱盐率≥99.5%，系统脱盐率≥98.5%，回收率≥75%。尺寸为1016*201mm（仅供参考，以实测为准），单只膜质保期不低于12个月；</w:t>
      </w:r>
    </w:p>
    <w:p>
      <w:pPr>
        <w:numPr>
          <w:ilvl w:val="0"/>
          <w:numId w:val="0"/>
        </w:numPr>
        <w:rPr>
          <w:rFonts w:hint="eastAsia" w:ascii="宋体" w:hAnsi="宋体" w:eastAsia="宋体" w:cs="宋体"/>
          <w:color w:val="0000FF"/>
          <w:sz w:val="28"/>
          <w:szCs w:val="28"/>
          <w:lang w:val="en-US" w:eastAsia="zh-CN"/>
        </w:rPr>
      </w:pPr>
      <w:r>
        <w:rPr>
          <w:rFonts w:hint="eastAsia" w:ascii="宋体" w:hAnsi="宋体" w:eastAsia="宋体" w:cs="宋体"/>
          <w:sz w:val="28"/>
          <w:szCs w:val="28"/>
          <w:lang w:val="en-US" w:eastAsia="zh-CN"/>
        </w:rPr>
        <w:t>3.2 系统脱盐率：</w:t>
      </w:r>
      <w:r>
        <w:rPr>
          <w:rFonts w:hint="eastAsia" w:ascii="宋体" w:hAnsi="宋体" w:eastAsia="宋体" w:cs="宋体"/>
          <w:color w:val="0000FF"/>
          <w:sz w:val="28"/>
          <w:szCs w:val="28"/>
          <w:lang w:val="en-US" w:eastAsia="zh-CN"/>
        </w:rPr>
        <w:t>一年内≥99%，二年内≥98%，三年内≥96%；</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 提供三年有限质保，三年质保期内膜组件出现非不当操作造成的质量问题可免费更换新元件。</w:t>
      </w:r>
    </w:p>
    <w:p>
      <w:pPr>
        <w:pStyle w:val="2"/>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3.4 投标方提供一份产品手册，本项目提供的型号在产品手册中能够体现。</w:t>
      </w:r>
    </w:p>
    <w:p>
      <w:pPr>
        <w:pStyle w:val="2"/>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3.5 本项目为污水处理回用，投标单位提供的产品必须为抗污染膜，膜表面需要经过特殊处理、亲水性强等特点。</w:t>
      </w:r>
    </w:p>
    <w:p>
      <w:pPr>
        <w:pStyle w:val="2"/>
        <w:rPr>
          <w:rFonts w:hint="default"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3.6 反渗透膜进水条件：电导率5000us/cm、总硬度700mg/L，靠参照苦咸水水质</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 技术服务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4.1 厂家负责反渗透膜元件到货后的安装指导并协助调试工作，以保证所提供设备能够顺利投运，我公司应积极协助配合，安装完成后运行满168h后且达到使用脱盐率，调试人员方可离开；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4.2在调试和验收期间及三包期内由于厂家的责任造成的设备和备件的损坏应由厂家及时免费维修或调换，满足现场运行进度需求；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4.3 厂家应协助买方根据反渗透系统的进水水质和运行情况，协助我公司制定运行方案清洗方案；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4.4 厂家提供反渗透膜系统长停期间的膜元件维护保养方案；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4.5 除上述由厂家提供的资料外，设备随机装箱资料应齐全；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4.6 膜元件安装前，厂家应派专业技术人员对安装人员进行培训，培训内容包括但不限于膜元件及膜组件的结构形式、安装的主要控制参数及精度要求等。</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反渗透膜必须为全新原装抗污染国产知名品牌膜，需提供第三方监督检测机构（具备国家资质认证）出具的相关质检报告原件，不得使用旧膜、二手膜、套牌膜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发现</w:t>
      </w:r>
      <w:r>
        <w:rPr>
          <w:rFonts w:hint="eastAsia" w:ascii="宋体" w:hAnsi="宋体" w:eastAsia="宋体" w:cs="宋体"/>
          <w:sz w:val="28"/>
          <w:szCs w:val="28"/>
        </w:rPr>
        <w:t>旧膜、二手膜、套牌膜</w:t>
      </w:r>
      <w:r>
        <w:rPr>
          <w:rFonts w:hint="eastAsia" w:ascii="宋体" w:hAnsi="宋体" w:eastAsia="宋体" w:cs="宋体"/>
          <w:sz w:val="28"/>
          <w:szCs w:val="28"/>
          <w:lang w:val="en-US" w:eastAsia="zh-CN"/>
        </w:rPr>
        <w:t>等直接永久列公司黑名单，按《芜湖新兴铸管有限责任公司黑名单管理制度》执行</w:t>
      </w:r>
      <w:r>
        <w:rPr>
          <w:rFonts w:hint="eastAsia" w:ascii="宋体" w:hAnsi="宋体" w:eastAsia="宋体" w:cs="宋体"/>
          <w:sz w:val="28"/>
          <w:szCs w:val="28"/>
        </w:rPr>
        <w:t>。</w:t>
      </w:r>
    </w:p>
    <w:p>
      <w:pPr>
        <w:rPr>
          <w:rFonts w:hint="default" w:eastAsiaTheme="minorEastAsia"/>
          <w:color w:val="0000FF"/>
          <w:sz w:val="28"/>
          <w:szCs w:val="28"/>
          <w:lang w:val="en-US" w:eastAsia="zh-CN"/>
        </w:rPr>
      </w:pPr>
      <w:r>
        <w:rPr>
          <w:rFonts w:hint="eastAsia"/>
          <w:color w:val="0000FF"/>
          <w:sz w:val="28"/>
          <w:szCs w:val="28"/>
          <w:lang w:val="en-US" w:eastAsia="zh-CN"/>
        </w:rPr>
        <w:t>6、投标厂家需在投标前进行技术交流。</w:t>
      </w:r>
    </w:p>
    <w:p>
      <w:pPr>
        <w:rPr>
          <w:rFonts w:hint="default" w:eastAsiaTheme="minorEastAsia"/>
          <w:color w:val="0000FF"/>
          <w:sz w:val="28"/>
          <w:szCs w:val="28"/>
          <w:lang w:val="en-US" w:eastAsia="zh-CN"/>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85D95"/>
    <w:multiLevelType w:val="singleLevel"/>
    <w:tmpl w:val="3B685D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196F"/>
    <w:rsid w:val="038075B7"/>
    <w:rsid w:val="03AA06A9"/>
    <w:rsid w:val="066F7E6C"/>
    <w:rsid w:val="083E6390"/>
    <w:rsid w:val="0AB47150"/>
    <w:rsid w:val="10574FCB"/>
    <w:rsid w:val="1A1977CF"/>
    <w:rsid w:val="1BF12C72"/>
    <w:rsid w:val="278B5CA1"/>
    <w:rsid w:val="293937C9"/>
    <w:rsid w:val="2DCE4C82"/>
    <w:rsid w:val="332E54F2"/>
    <w:rsid w:val="37647498"/>
    <w:rsid w:val="37A849F7"/>
    <w:rsid w:val="38E1135E"/>
    <w:rsid w:val="3AB72DF0"/>
    <w:rsid w:val="3B814A0E"/>
    <w:rsid w:val="3BDA6924"/>
    <w:rsid w:val="3FEA56E7"/>
    <w:rsid w:val="4E8F6351"/>
    <w:rsid w:val="4F9B288E"/>
    <w:rsid w:val="55240582"/>
    <w:rsid w:val="55F105B0"/>
    <w:rsid w:val="56297651"/>
    <w:rsid w:val="58551943"/>
    <w:rsid w:val="58863DB1"/>
    <w:rsid w:val="5C0E7864"/>
    <w:rsid w:val="5D15056A"/>
    <w:rsid w:val="606A6756"/>
    <w:rsid w:val="619976EC"/>
    <w:rsid w:val="64647BDF"/>
    <w:rsid w:val="688F0B65"/>
    <w:rsid w:val="697F1EC0"/>
    <w:rsid w:val="6EB16198"/>
    <w:rsid w:val="73A15D58"/>
    <w:rsid w:val="75AD02E3"/>
    <w:rsid w:val="7AC1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2021-07-08T07:28:00Z</dcterms:created>
  <dc:creator>song'hu'ai'hu</dc:creator>
  <cp:lastModifiedBy>雷厉风行</cp:lastModifiedBy>
  <dcterms:modified xsi:type="dcterms:W3CDTF">2021-08-17T06:59:58Z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E3C61E4993FD4422A79D055C9F97EDCC</vt:lpwstr>
  </property>
</Properties>
</file>