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b/>
          <w:sz w:val="44"/>
          <w:szCs w:val="44"/>
          <w:lang w:eastAsia="zh-CN"/>
        </w:rPr>
      </w:pPr>
      <w:r>
        <w:rPr>
          <w:rFonts w:hint="eastAsia" w:ascii="宋体" w:hAnsi="宋体"/>
          <w:b/>
          <w:sz w:val="44"/>
          <w:szCs w:val="44"/>
          <w:lang w:eastAsia="zh-CN"/>
        </w:rPr>
        <w:t>铁前</w:t>
      </w:r>
      <w:r>
        <w:rPr>
          <w:rFonts w:hint="eastAsia" w:ascii="宋体" w:hAnsi="宋体"/>
          <w:b/>
          <w:sz w:val="44"/>
          <w:szCs w:val="44"/>
          <w:lang w:val="en-US" w:eastAsia="zh-CN"/>
        </w:rPr>
        <w:t>事业</w:t>
      </w:r>
      <w:r>
        <w:rPr>
          <w:rFonts w:hint="eastAsia" w:ascii="宋体" w:hAnsi="宋体"/>
          <w:b/>
          <w:sz w:val="44"/>
          <w:szCs w:val="44"/>
          <w:lang w:eastAsia="zh-CN"/>
        </w:rPr>
        <w:t>部各料场雾帘</w:t>
      </w:r>
    </w:p>
    <w:p>
      <w:pPr>
        <w:jc w:val="center"/>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8</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20</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TQB</w:t>
      </w:r>
      <w:r>
        <w:rPr>
          <w:rFonts w:hint="eastAsia" w:ascii="宋体" w:hAnsi="宋体"/>
          <w:color w:val="000000"/>
          <w:sz w:val="24"/>
          <w:szCs w:val="24"/>
        </w:rPr>
        <w:t>202</w:t>
      </w:r>
      <w:r>
        <w:rPr>
          <w:rFonts w:hint="eastAsia" w:ascii="宋体" w:hAnsi="宋体"/>
          <w:color w:val="000000"/>
          <w:sz w:val="24"/>
          <w:szCs w:val="24"/>
          <w:lang w:val="en-US" w:eastAsia="zh-CN"/>
        </w:rPr>
        <w:t>1082005GLCML</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lang w:eastAsia="zh-CN"/>
        </w:rPr>
        <w:t>铁前</w:t>
      </w:r>
      <w:r>
        <w:rPr>
          <w:rFonts w:hint="eastAsia" w:ascii="宋体" w:hAnsi="宋体"/>
          <w:color w:val="FF0000"/>
          <w:sz w:val="24"/>
          <w:szCs w:val="24"/>
          <w:lang w:val="en-US" w:eastAsia="zh-CN"/>
        </w:rPr>
        <w:t>事业</w:t>
      </w:r>
      <w:r>
        <w:rPr>
          <w:rFonts w:hint="eastAsia" w:ascii="宋体" w:hAnsi="宋体"/>
          <w:color w:val="FF0000"/>
          <w:sz w:val="24"/>
          <w:szCs w:val="24"/>
          <w:lang w:eastAsia="zh-CN"/>
        </w:rPr>
        <w:t>部各料场雾帘</w:t>
      </w:r>
      <w:r>
        <w:rPr>
          <w:rFonts w:hint="eastAsia" w:ascii="宋体" w:hAnsi="宋体"/>
          <w:sz w:val="24"/>
          <w:szCs w:val="24"/>
        </w:rPr>
        <w:t>进行招标，有意向合作的公司可与我公司联系。来我公司招标办</w:t>
      </w:r>
      <w:r>
        <w:rPr>
          <w:rFonts w:hint="eastAsia" w:ascii="宋体" w:hAnsi="宋体"/>
          <w:sz w:val="24"/>
          <w:szCs w:val="24"/>
          <w:lang w:val="en-US" w:eastAsia="zh-CN"/>
        </w:rPr>
        <w:t>204</w:t>
      </w:r>
      <w:r>
        <w:rPr>
          <w:rFonts w:hint="eastAsia" w:ascii="宋体" w:hAnsi="宋体"/>
          <w:sz w:val="24"/>
          <w:szCs w:val="24"/>
        </w:rPr>
        <w:t>报名（近期谢绝现场报名）。网上报名者，请按要求填写投标报名函，并附上相关资质及业绩，公平交易承诺函（加盖公章）扫描后发至</w:t>
      </w:r>
      <w:r>
        <w:rPr>
          <w:rFonts w:hint="eastAsia" w:ascii="宋体" w:hAnsi="宋体"/>
          <w:sz w:val="24"/>
          <w:szCs w:val="24"/>
          <w:lang w:eastAsia="zh-CN"/>
        </w:rPr>
        <w:t>谢金林</w:t>
      </w:r>
      <w:r>
        <w:rPr>
          <w:rFonts w:hint="eastAsia" w:ascii="宋体" w:hAnsi="宋体"/>
          <w:sz w:val="24"/>
          <w:szCs w:val="24"/>
        </w:rPr>
        <w:t>邮箱。</w:t>
      </w:r>
    </w:p>
    <w:p>
      <w:pPr>
        <w:pStyle w:val="9"/>
        <w:widowControl/>
        <w:shd w:val="clear" w:color="auto" w:fill="FFFFFF"/>
        <w:rPr>
          <w:rFonts w:hint="eastAsia" w:ascii="宋体" w:hAnsi="宋体"/>
          <w:sz w:val="24"/>
          <w:szCs w:val="24"/>
        </w:rPr>
      </w:pPr>
      <w:r>
        <w:rPr>
          <w:rFonts w:hint="eastAsia" w:ascii="宋体" w:hAnsi="宋体"/>
          <w:sz w:val="24"/>
          <w:szCs w:val="24"/>
        </w:rPr>
        <w:t>联系人及电话：</w:t>
      </w:r>
    </w:p>
    <w:p>
      <w:pPr>
        <w:ind w:firstLine="600" w:firstLineChars="250"/>
        <w:rPr>
          <w:rFonts w:hint="eastAsia" w:ascii="宋体" w:hAnsi="宋体" w:cs="Times New Roman"/>
          <w:sz w:val="24"/>
          <w:szCs w:val="24"/>
          <w:lang w:eastAsia="zh-CN"/>
        </w:rPr>
      </w:pPr>
      <w:r>
        <w:rPr>
          <w:rFonts w:hint="eastAsia" w:ascii="宋体" w:hAnsi="宋体" w:cs="Times New Roman"/>
          <w:sz w:val="24"/>
          <w:szCs w:val="24"/>
          <w:lang w:eastAsia="zh-CN"/>
        </w:rPr>
        <w:t xml:space="preserve">招标办：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谢 工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18055375917</w:t>
      </w:r>
    </w:p>
    <w:p>
      <w:pPr>
        <w:ind w:firstLine="600" w:firstLineChars="250"/>
        <w:rPr>
          <w:rFonts w:hint="default" w:ascii="宋体" w:hAnsi="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val="en-US" w:eastAsia="zh-CN"/>
        </w:rPr>
        <w:t>汪 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18055315236</w:t>
      </w:r>
    </w:p>
    <w:p>
      <w:pPr>
        <w:ind w:firstLine="600" w:firstLineChars="250"/>
        <w:rPr>
          <w:rFonts w:hint="eastAsia" w:ascii="宋体" w:hAnsi="宋体"/>
          <w:sz w:val="24"/>
          <w:szCs w:val="24"/>
          <w:lang w:val="en-US" w:eastAsia="zh-CN"/>
        </w:rPr>
      </w:pPr>
      <w:r>
        <w:rPr>
          <w:rFonts w:hint="eastAsia" w:ascii="宋体" w:hAnsi="宋体"/>
          <w:sz w:val="24"/>
          <w:szCs w:val="24"/>
        </w:rPr>
        <w:t>工程管理部：</w:t>
      </w:r>
      <w:r>
        <w:rPr>
          <w:rFonts w:hint="eastAsia" w:ascii="宋体" w:hAnsi="宋体" w:cs="宋体"/>
          <w:sz w:val="24"/>
          <w:szCs w:val="24"/>
        </w:rPr>
        <w:t xml:space="preserve">    </w:t>
      </w:r>
      <w:r>
        <w:rPr>
          <w:rFonts w:hint="eastAsia" w:ascii="宋体" w:hAnsi="宋体" w:cs="宋体"/>
          <w:sz w:val="24"/>
          <w:szCs w:val="24"/>
          <w:lang w:val="en-US" w:eastAsia="zh-CN"/>
        </w:rPr>
        <w:t>李 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15955356961</w:t>
      </w:r>
    </w:p>
    <w:p>
      <w:pPr>
        <w:ind w:firstLine="600" w:firstLineChars="250"/>
        <w:rPr>
          <w:rFonts w:hint="eastAsia" w:ascii="宋体" w:hAnsi="宋体"/>
          <w:sz w:val="24"/>
          <w:szCs w:val="24"/>
          <w:lang w:val="en-US" w:eastAsia="zh-CN"/>
        </w:rPr>
      </w:pPr>
      <w:r>
        <w:rPr>
          <w:rFonts w:hint="eastAsia" w:ascii="宋体" w:hAnsi="宋体"/>
          <w:sz w:val="24"/>
          <w:szCs w:val="24"/>
          <w:lang w:val="en-US" w:eastAsia="zh-CN"/>
        </w:rPr>
        <w:t>铁前事业部</w:t>
      </w:r>
      <w:r>
        <w:rPr>
          <w:rFonts w:hint="eastAsia" w:ascii="宋体" w:hAnsi="宋体"/>
          <w:sz w:val="24"/>
          <w:szCs w:val="24"/>
        </w:rPr>
        <w:t>：</w:t>
      </w:r>
      <w:r>
        <w:rPr>
          <w:rFonts w:hint="eastAsia" w:ascii="宋体" w:hAnsi="宋体" w:cs="宋体"/>
          <w:sz w:val="24"/>
          <w:szCs w:val="24"/>
        </w:rPr>
        <w:t xml:space="preserve">    </w:t>
      </w:r>
      <w:r>
        <w:rPr>
          <w:rFonts w:hint="eastAsia" w:ascii="宋体" w:hAnsi="宋体" w:cs="宋体"/>
          <w:sz w:val="24"/>
          <w:szCs w:val="24"/>
          <w:lang w:val="en-US" w:eastAsia="zh-CN"/>
        </w:rPr>
        <w:t>王 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13965163195</w:t>
      </w:r>
    </w:p>
    <w:p>
      <w:pPr>
        <w:pStyle w:val="2"/>
        <w:rPr>
          <w:rFonts w:hint="eastAsia"/>
          <w:lang w:val="en-US" w:eastAsia="zh-CN"/>
        </w:rPr>
      </w:pP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bCs/>
          <w:sz w:val="24"/>
          <w:szCs w:val="24"/>
          <w:lang w:val="en-US" w:eastAsia="zh-CN"/>
        </w:rPr>
        <w:t>9</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highlight w:val="none"/>
          <w:u w:val="single"/>
          <w:lang w:val="en-US" w:eastAsia="zh-CN"/>
        </w:rPr>
        <w:t>9</w:t>
      </w:r>
      <w:r>
        <w:rPr>
          <w:rFonts w:ascii="宋体" w:hAnsi="宋体"/>
          <w:bCs/>
          <w:sz w:val="24"/>
          <w:szCs w:val="24"/>
          <w:highlight w:val="none"/>
        </w:rPr>
        <w:t>月</w:t>
      </w:r>
      <w:r>
        <w:rPr>
          <w:rFonts w:hint="eastAsia" w:ascii="宋体" w:hAnsi="宋体"/>
          <w:bCs/>
          <w:sz w:val="24"/>
          <w:szCs w:val="24"/>
          <w:highlight w:val="none"/>
          <w:u w:val="single"/>
          <w:lang w:val="en-US" w:eastAsia="zh-CN"/>
        </w:rPr>
        <w:t>14</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eastAsia="宋体"/>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eastAsia="zh-CN"/>
        </w:rPr>
        <w:t xml:space="preserve">谢金林 </w:t>
      </w:r>
      <w:r>
        <w:rPr>
          <w:rFonts w:hint="eastAsia" w:ascii="宋体" w:hAnsi="宋体"/>
          <w:sz w:val="24"/>
          <w:szCs w:val="24"/>
        </w:rPr>
        <w:t xml:space="preserve">             </w:t>
      </w:r>
    </w:p>
    <w:p>
      <w:pPr>
        <w:snapToGrid w:val="0"/>
        <w:spacing w:line="300" w:lineRule="auto"/>
        <w:ind w:firstLine="1680" w:firstLineChars="700"/>
        <w:rPr>
          <w:rFonts w:hint="eastAsia" w:ascii="宋体" w:hAnsi="宋体"/>
          <w:sz w:val="24"/>
          <w:szCs w:val="24"/>
          <w:lang w:eastAsia="zh-CN"/>
        </w:rPr>
      </w:pPr>
      <w:r>
        <w:rPr>
          <w:rFonts w:hint="eastAsia" w:ascii="宋体" w:hAnsi="宋体"/>
          <w:sz w:val="24"/>
          <w:szCs w:val="24"/>
        </w:rPr>
        <w:t>邮    箱：</w:t>
      </w:r>
      <w:r>
        <w:rPr>
          <w:rFonts w:hint="default" w:ascii="宋体" w:hAnsi="宋体"/>
          <w:sz w:val="24"/>
          <w:szCs w:val="24"/>
        </w:rPr>
        <w:t>whxxzg001@qq.com</w:t>
      </w:r>
    </w:p>
    <w:p>
      <w:pPr>
        <w:pStyle w:val="2"/>
        <w:rPr>
          <w:rFonts w:hint="eastAsia"/>
          <w:lang w:eastAsia="zh-CN"/>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9</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9</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00分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hint="eastAsia" w:ascii="宋体" w:hAnsi="宋体" w:cs="Times New Roman"/>
          <w:bCs/>
          <w:sz w:val="24"/>
          <w:szCs w:val="24"/>
        </w:rPr>
      </w:pPr>
      <w:r>
        <w:rPr>
          <w:rFonts w:hint="eastAsia" w:ascii="宋体" w:hAnsi="宋体" w:cs="Times New Roman"/>
          <w:bCs/>
          <w:sz w:val="24"/>
          <w:szCs w:val="24"/>
        </w:rPr>
        <w:t>单位地址：芜湖市三山区经济开发区春洲路2号</w:t>
      </w:r>
    </w:p>
    <w:p>
      <w:pPr>
        <w:ind w:firstLine="1680" w:firstLineChars="700"/>
        <w:rPr>
          <w:rFonts w:hint="eastAsia" w:ascii="宋体" w:hAnsi="宋体" w:cs="Times New Roman"/>
          <w:bCs/>
          <w:sz w:val="24"/>
          <w:szCs w:val="24"/>
        </w:rPr>
      </w:pPr>
      <w:r>
        <w:rPr>
          <w:rFonts w:hint="eastAsia" w:ascii="宋体" w:hAnsi="宋体" w:cs="Times New Roman"/>
          <w:bCs/>
          <w:sz w:val="24"/>
          <w:szCs w:val="24"/>
        </w:rPr>
        <w:t>开 户 行：中国工商银行芜湖环城路支行</w:t>
      </w:r>
    </w:p>
    <w:p>
      <w:pPr>
        <w:ind w:firstLine="1680" w:firstLineChars="700"/>
        <w:rPr>
          <w:rFonts w:hint="eastAsia" w:ascii="宋体" w:hAnsi="宋体" w:cs="Times New Roman"/>
          <w:bCs/>
          <w:sz w:val="24"/>
          <w:szCs w:val="24"/>
        </w:rPr>
      </w:pPr>
      <w:r>
        <w:rPr>
          <w:rFonts w:hint="eastAsia" w:ascii="宋体" w:hAnsi="宋体" w:cs="Times New Roman"/>
          <w:bCs/>
          <w:sz w:val="24"/>
          <w:szCs w:val="24"/>
        </w:rPr>
        <w:t>帐    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w:t>
      </w:r>
      <w:r>
        <w:rPr>
          <w:rFonts w:hint="eastAsia" w:ascii="宋体" w:hAnsi="宋体" w:cs="Times New Roman"/>
          <w:bCs/>
          <w:sz w:val="24"/>
          <w:szCs w:val="24"/>
        </w:rPr>
        <w:t>度量衡</w:t>
      </w:r>
      <w:r>
        <w:rPr>
          <w:rFonts w:hint="eastAsia" w:ascii="宋体" w:hAnsi="宋体"/>
          <w:sz w:val="24"/>
          <w:szCs w:val="24"/>
        </w:rPr>
        <w:t>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420" w:leftChars="200"/>
        <w:rPr>
          <w:rFonts w:ascii="宋体" w:hAnsi="宋体" w:cs="Times New Roman"/>
          <w:sz w:val="24"/>
          <w:szCs w:val="24"/>
        </w:rPr>
      </w:pPr>
      <w:r>
        <w:rPr>
          <w:rFonts w:hint="eastAsia" w:ascii="宋体" w:hAnsi="宋体" w:cs="Times New Roman"/>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420" w:leftChars="200"/>
        <w:rPr>
          <w:rFonts w:ascii="宋体" w:hAnsi="宋体" w:cs="Times New Roman"/>
          <w:sz w:val="24"/>
          <w:szCs w:val="24"/>
        </w:rPr>
      </w:pPr>
      <w:r>
        <w:rPr>
          <w:rFonts w:hint="eastAsia" w:ascii="宋体" w:hAnsi="宋体" w:cs="Times New Roman"/>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设备款拟付款方式：货到付款30%，安装完毕验收合格付款30%，正常使用三个月付款30%，质保金10%，质保期一年。</w:t>
      </w:r>
    </w:p>
    <w:p>
      <w:pPr>
        <w:spacing w:line="440" w:lineRule="exact"/>
        <w:ind w:left="868" w:leftChars="400" w:hanging="28" w:hangingChars="12"/>
        <w:rPr>
          <w:rFonts w:hint="eastAsia" w:ascii="宋体" w:hAnsi="宋体"/>
          <w:sz w:val="24"/>
          <w:szCs w:val="22"/>
          <w:lang w:val="en-US"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left="868" w:leftChars="400" w:hanging="28" w:hangingChars="12"/>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bookmarkStart w:id="0" w:name="_GoBack"/>
      <w:bookmarkEnd w:id="0"/>
    </w:p>
    <w:p>
      <w:pPr>
        <w:numPr>
          <w:ilvl w:val="0"/>
          <w:numId w:val="7"/>
        </w:numPr>
        <w:rPr>
          <w:b/>
          <w:sz w:val="24"/>
          <w:szCs w:val="24"/>
        </w:rPr>
      </w:pPr>
      <w:r>
        <w:rPr>
          <w:rFonts w:hint="eastAsia"/>
          <w:b/>
          <w:sz w:val="24"/>
          <w:szCs w:val="24"/>
        </w:rPr>
        <w:t>其他要求</w:t>
      </w:r>
    </w:p>
    <w:p>
      <w:pPr>
        <w:numPr>
          <w:ilvl w:val="0"/>
          <w:numId w:val="8"/>
        </w:numPr>
        <w:tabs>
          <w:tab w:val="left" w:pos="2680"/>
        </w:tabs>
        <w:ind w:left="150" w:leftChars="0" w:firstLine="480" w:firstLineChars="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lang w:eastAsia="zh-CN"/>
        </w:rPr>
        <w:t>铁前部各料场雾帘</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1090"/>
        <w:gridCol w:w="1128"/>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noWrap w:val="0"/>
            <w:vAlign w:val="top"/>
          </w:tcPr>
          <w:p>
            <w:pPr>
              <w:spacing w:line="500" w:lineRule="exact"/>
              <w:jc w:val="center"/>
              <w:rPr>
                <w:rFonts w:hint="default" w:eastAsia="宋体"/>
                <w:vertAlign w:val="baseline"/>
                <w:lang w:val="en-US" w:eastAsia="zh-CN"/>
              </w:rPr>
            </w:pPr>
            <w:r>
              <w:rPr>
                <w:rFonts w:hint="eastAsia" w:ascii="仿宋_GB2312" w:hAnsi="仿宋_GB2312" w:eastAsia="仿宋_GB2312" w:cs="仿宋_GB2312"/>
              </w:rPr>
              <w:t>物资名称</w:t>
            </w:r>
          </w:p>
        </w:tc>
        <w:tc>
          <w:tcPr>
            <w:tcW w:w="1090" w:type="dxa"/>
            <w:noWrap w:val="0"/>
            <w:vAlign w:val="top"/>
          </w:tcPr>
          <w:p>
            <w:pPr>
              <w:spacing w:line="500" w:lineRule="exact"/>
              <w:jc w:val="center"/>
              <w:rPr>
                <w:rFonts w:hint="default" w:eastAsia="宋体"/>
                <w:vertAlign w:val="baseline"/>
                <w:lang w:val="en-US" w:eastAsia="zh-CN"/>
              </w:rPr>
            </w:pPr>
            <w:r>
              <w:rPr>
                <w:rFonts w:hint="eastAsia" w:ascii="仿宋_GB2312" w:hAnsi="仿宋_GB2312" w:eastAsia="仿宋_GB2312" w:cs="仿宋_GB2312"/>
              </w:rPr>
              <w:t>数  量</w:t>
            </w:r>
          </w:p>
        </w:tc>
        <w:tc>
          <w:tcPr>
            <w:tcW w:w="1128" w:type="dxa"/>
            <w:noWrap w:val="0"/>
            <w:vAlign w:val="top"/>
          </w:tcPr>
          <w:p>
            <w:pPr>
              <w:spacing w:line="500" w:lineRule="exact"/>
              <w:jc w:val="center"/>
              <w:rPr>
                <w:rFonts w:hint="eastAsia" w:eastAsia="仿宋_GB2312"/>
                <w:vertAlign w:val="baseline"/>
                <w:lang w:val="en-US" w:eastAsia="zh-CN"/>
              </w:rPr>
            </w:pPr>
            <w:r>
              <w:rPr>
                <w:rFonts w:hint="eastAsia" w:ascii="仿宋_GB2312" w:hAnsi="仿宋_GB2312" w:eastAsia="仿宋_GB2312" w:cs="仿宋_GB2312"/>
                <w:lang w:val="en-US" w:eastAsia="zh-CN"/>
              </w:rPr>
              <w:t>单</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位</w:t>
            </w:r>
          </w:p>
        </w:tc>
        <w:tc>
          <w:tcPr>
            <w:tcW w:w="3177" w:type="dxa"/>
            <w:noWrap w:val="0"/>
            <w:vAlign w:val="top"/>
          </w:tcPr>
          <w:p>
            <w:pPr>
              <w:spacing w:line="500" w:lineRule="exact"/>
              <w:jc w:val="center"/>
              <w:rPr>
                <w:rFonts w:hint="eastAsia" w:ascii="仿宋_GB2312" w:hAnsi="仿宋_GB2312" w:eastAsia="仿宋_GB2312" w:cs="仿宋_GB2312"/>
                <w:kern w:val="2"/>
                <w:sz w:val="21"/>
                <w:lang w:val="en-US" w:eastAsia="zh-CN" w:bidi="ar-SA"/>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spacing w:line="500" w:lineRule="exact"/>
              <w:jc w:val="center"/>
              <w:rPr>
                <w:rFonts w:hint="eastAsia" w:eastAsia="宋体"/>
                <w:vertAlign w:val="baseline"/>
                <w:lang w:val="en-US" w:eastAsia="zh-CN"/>
              </w:rPr>
            </w:pPr>
            <w:r>
              <w:rPr>
                <w:rFonts w:hint="eastAsia" w:ascii="仿宋_GB2312" w:hAnsi="仿宋_GB2312" w:eastAsia="仿宋_GB2312" w:cs="仿宋_GB2312"/>
              </w:rPr>
              <w:t>综合料场干雾系统</w:t>
            </w:r>
          </w:p>
        </w:tc>
        <w:tc>
          <w:tcPr>
            <w:tcW w:w="1090" w:type="dxa"/>
            <w:noWrap w:val="0"/>
            <w:vAlign w:val="top"/>
          </w:tcPr>
          <w:p>
            <w:pPr>
              <w:spacing w:line="500" w:lineRule="exact"/>
              <w:jc w:val="center"/>
              <w:rPr>
                <w:rFonts w:hint="default" w:eastAsia="宋体"/>
                <w:vertAlign w:val="baseline"/>
                <w:lang w:val="en-US" w:eastAsia="zh-CN"/>
              </w:rPr>
            </w:pPr>
            <w:r>
              <w:rPr>
                <w:rFonts w:hint="eastAsia" w:ascii="仿宋_GB2312" w:hAnsi="仿宋_GB2312" w:eastAsia="仿宋_GB2312" w:cs="仿宋_GB2312"/>
              </w:rPr>
              <w:t>1</w:t>
            </w:r>
          </w:p>
        </w:tc>
        <w:tc>
          <w:tcPr>
            <w:tcW w:w="1128" w:type="dxa"/>
            <w:noWrap w:val="0"/>
            <w:vAlign w:val="top"/>
          </w:tcPr>
          <w:p>
            <w:pPr>
              <w:spacing w:line="500" w:lineRule="exact"/>
              <w:jc w:val="center"/>
              <w:rPr>
                <w:rFonts w:hint="eastAsia" w:eastAsia="宋体"/>
                <w:vertAlign w:val="baseline"/>
                <w:lang w:val="en-US" w:eastAsia="zh-CN"/>
              </w:rPr>
            </w:pPr>
            <w:r>
              <w:rPr>
                <w:rFonts w:hint="eastAsia" w:ascii="仿宋_GB2312" w:hAnsi="仿宋_GB2312" w:eastAsia="仿宋_GB2312" w:cs="仿宋_GB2312"/>
                <w:lang w:val="en-US" w:eastAsia="zh-CN"/>
              </w:rPr>
              <w:t>套</w:t>
            </w:r>
          </w:p>
        </w:tc>
        <w:tc>
          <w:tcPr>
            <w:tcW w:w="3177" w:type="dxa"/>
            <w:noWrap w:val="0"/>
            <w:vAlign w:val="top"/>
          </w:tcPr>
          <w:p>
            <w:pPr>
              <w:spacing w:line="500" w:lineRule="exact"/>
              <w:jc w:val="center"/>
              <w:rPr>
                <w:rFonts w:hint="default" w:ascii="仿宋_GB2312" w:hAnsi="仿宋_GB2312" w:eastAsia="仿宋_GB2312" w:cs="仿宋_GB2312"/>
                <w:kern w:val="2"/>
                <w:sz w:val="21"/>
                <w:lang w:val="en-US" w:eastAsia="zh-CN" w:bidi="ar-SA"/>
              </w:rPr>
            </w:pPr>
            <w:r>
              <w:rPr>
                <w:rFonts w:hint="eastAsia" w:ascii="仿宋_GB2312" w:hAnsi="仿宋_GB2312" w:eastAsia="仿宋_GB2312" w:cs="仿宋_GB2312"/>
                <w:kern w:val="2"/>
                <w:sz w:val="21"/>
                <w:lang w:val="en-US" w:eastAsia="zh-CN" w:bidi="ar-SA"/>
              </w:rPr>
              <w:t>详见技术规格书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spacing w:line="500" w:lineRule="exact"/>
              <w:jc w:val="center"/>
              <w:rPr>
                <w:rFonts w:hint="eastAsia" w:ascii="仿宋_GB2312" w:hAnsi="仿宋_GB2312" w:eastAsia="仿宋_GB2312" w:cs="仿宋_GB2312"/>
                <w:szCs w:val="22"/>
                <w:u w:val="none"/>
                <w:lang w:eastAsia="zh-CN"/>
              </w:rPr>
            </w:pPr>
            <w:r>
              <w:rPr>
                <w:rFonts w:hint="eastAsia" w:ascii="仿宋_GB2312" w:hAnsi="仿宋_GB2312" w:eastAsia="仿宋_GB2312" w:cs="仿宋_GB2312"/>
              </w:rPr>
              <w:t>块矿大棚干雾系统</w:t>
            </w:r>
          </w:p>
        </w:tc>
        <w:tc>
          <w:tcPr>
            <w:tcW w:w="1090" w:type="dxa"/>
            <w:noWrap w:val="0"/>
            <w:vAlign w:val="top"/>
          </w:tcPr>
          <w:p>
            <w:pPr>
              <w:spacing w:line="500" w:lineRule="exact"/>
              <w:jc w:val="center"/>
              <w:rPr>
                <w:rFonts w:hint="eastAsia"/>
                <w:vertAlign w:val="baseline"/>
                <w:lang w:val="en-US" w:eastAsia="zh-CN"/>
              </w:rPr>
            </w:pPr>
            <w:r>
              <w:rPr>
                <w:rFonts w:hint="eastAsia" w:ascii="仿宋_GB2312" w:hAnsi="仿宋_GB2312" w:eastAsia="仿宋_GB2312" w:cs="仿宋_GB2312"/>
              </w:rPr>
              <w:t>1</w:t>
            </w:r>
          </w:p>
        </w:tc>
        <w:tc>
          <w:tcPr>
            <w:tcW w:w="1128" w:type="dxa"/>
            <w:noWrap w:val="0"/>
            <w:vAlign w:val="top"/>
          </w:tcPr>
          <w:p>
            <w:pPr>
              <w:spacing w:line="500" w:lineRule="exact"/>
              <w:jc w:val="center"/>
              <w:rPr>
                <w:rFonts w:hint="eastAsia"/>
                <w:vertAlign w:val="baseline"/>
                <w:lang w:val="en-US" w:eastAsia="zh-CN"/>
              </w:rPr>
            </w:pPr>
            <w:r>
              <w:rPr>
                <w:rFonts w:hint="eastAsia" w:ascii="仿宋_GB2312" w:hAnsi="仿宋_GB2312" w:eastAsia="仿宋_GB2312" w:cs="仿宋_GB2312"/>
                <w:lang w:val="en-US" w:eastAsia="zh-CN"/>
              </w:rPr>
              <w:t>套</w:t>
            </w:r>
          </w:p>
        </w:tc>
        <w:tc>
          <w:tcPr>
            <w:tcW w:w="3177" w:type="dxa"/>
            <w:noWrap w:val="0"/>
            <w:vAlign w:val="top"/>
          </w:tcPr>
          <w:p>
            <w:pPr>
              <w:spacing w:line="500" w:lineRule="exact"/>
              <w:jc w:val="center"/>
              <w:rPr>
                <w:rFonts w:hint="default" w:ascii="仿宋_GB2312" w:hAnsi="仿宋_GB2312" w:eastAsia="仿宋_GB2312" w:cs="仿宋_GB2312"/>
                <w:kern w:val="2"/>
                <w:sz w:val="21"/>
                <w:lang w:val="en-US" w:eastAsia="zh-CN" w:bidi="ar-SA"/>
              </w:rPr>
            </w:pPr>
            <w:r>
              <w:rPr>
                <w:rFonts w:hint="eastAsia" w:ascii="仿宋_GB2312" w:hAnsi="仿宋_GB2312" w:eastAsia="仿宋_GB2312" w:cs="仿宋_GB2312"/>
                <w:kern w:val="2"/>
                <w:sz w:val="21"/>
                <w:lang w:val="en-US" w:eastAsia="zh-CN" w:bidi="ar-SA"/>
              </w:rPr>
              <w:t>详见技术规格书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spacing w:line="500" w:lineRule="exact"/>
              <w:jc w:val="center"/>
              <w:rPr>
                <w:rFonts w:hint="eastAsia" w:ascii="仿宋_GB2312" w:hAnsi="仿宋_GB2312" w:eastAsia="仿宋_GB2312" w:cs="仿宋_GB2312"/>
                <w:szCs w:val="22"/>
                <w:u w:val="none"/>
                <w:lang w:eastAsia="zh-CN"/>
              </w:rPr>
            </w:pPr>
            <w:r>
              <w:rPr>
                <w:rFonts w:hint="eastAsia" w:ascii="仿宋_GB2312" w:hAnsi="仿宋_GB2312" w:eastAsia="仿宋_GB2312" w:cs="仿宋_GB2312"/>
              </w:rPr>
              <w:t>石子库干雾系统</w:t>
            </w:r>
          </w:p>
        </w:tc>
        <w:tc>
          <w:tcPr>
            <w:tcW w:w="1090" w:type="dxa"/>
            <w:noWrap w:val="0"/>
            <w:vAlign w:val="top"/>
          </w:tcPr>
          <w:p>
            <w:pPr>
              <w:spacing w:line="500" w:lineRule="exact"/>
              <w:jc w:val="center"/>
              <w:rPr>
                <w:rFonts w:hint="eastAsia"/>
                <w:vertAlign w:val="baseline"/>
                <w:lang w:val="en-US" w:eastAsia="zh-CN"/>
              </w:rPr>
            </w:pPr>
            <w:r>
              <w:rPr>
                <w:rFonts w:hint="eastAsia" w:ascii="仿宋_GB2312" w:hAnsi="仿宋_GB2312" w:eastAsia="仿宋_GB2312" w:cs="仿宋_GB2312"/>
              </w:rPr>
              <w:t>1</w:t>
            </w:r>
          </w:p>
        </w:tc>
        <w:tc>
          <w:tcPr>
            <w:tcW w:w="1128" w:type="dxa"/>
            <w:noWrap w:val="0"/>
            <w:vAlign w:val="top"/>
          </w:tcPr>
          <w:p>
            <w:pPr>
              <w:spacing w:line="500" w:lineRule="exact"/>
              <w:jc w:val="center"/>
              <w:rPr>
                <w:rFonts w:hint="eastAsia"/>
                <w:vertAlign w:val="baseline"/>
                <w:lang w:val="en-US" w:eastAsia="zh-CN"/>
              </w:rPr>
            </w:pPr>
            <w:r>
              <w:rPr>
                <w:rFonts w:hint="eastAsia" w:ascii="仿宋_GB2312" w:hAnsi="仿宋_GB2312" w:eastAsia="仿宋_GB2312" w:cs="仿宋_GB2312"/>
                <w:lang w:val="en-US" w:eastAsia="zh-CN"/>
              </w:rPr>
              <w:t>套</w:t>
            </w:r>
          </w:p>
        </w:tc>
        <w:tc>
          <w:tcPr>
            <w:tcW w:w="3177" w:type="dxa"/>
            <w:noWrap w:val="0"/>
            <w:vAlign w:val="top"/>
          </w:tcPr>
          <w:p>
            <w:pPr>
              <w:spacing w:line="500" w:lineRule="exact"/>
              <w:jc w:val="center"/>
              <w:rPr>
                <w:rFonts w:hint="default" w:ascii="仿宋_GB2312" w:hAnsi="仿宋_GB2312" w:eastAsia="仿宋_GB2312" w:cs="仿宋_GB2312"/>
                <w:kern w:val="2"/>
                <w:sz w:val="21"/>
                <w:lang w:val="en-US" w:eastAsia="zh-CN" w:bidi="ar-SA"/>
              </w:rPr>
            </w:pPr>
            <w:r>
              <w:rPr>
                <w:rFonts w:hint="eastAsia" w:ascii="仿宋_GB2312" w:hAnsi="仿宋_GB2312" w:eastAsia="仿宋_GB2312" w:cs="仿宋_GB2312"/>
                <w:kern w:val="2"/>
                <w:sz w:val="21"/>
                <w:lang w:val="en-US" w:eastAsia="zh-CN" w:bidi="ar-SA"/>
              </w:rPr>
              <w:t>详见技术规格书</w:t>
            </w:r>
          </w:p>
        </w:tc>
      </w:tr>
    </w:tbl>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150" w:leftChars="0" w:firstLine="480" w:firstLineChars="0"/>
        <w:jc w:val="left"/>
        <w:rPr>
          <w:rFonts w:hint="eastAsia"/>
          <w:vertAlign w:val="baseline"/>
          <w:lang w:val="en-US" w:eastAsia="zh-CN"/>
        </w:rPr>
      </w:pPr>
      <w:r>
        <w:rPr>
          <w:rFonts w:hint="eastAsia"/>
          <w:sz w:val="24"/>
          <w:szCs w:val="24"/>
        </w:rPr>
        <w:t>技术要求：具体要求见技术规格书。</w:t>
      </w:r>
    </w:p>
    <w:p>
      <w:pPr>
        <w:numPr>
          <w:ilvl w:val="0"/>
          <w:numId w:val="8"/>
        </w:numPr>
        <w:tabs>
          <w:tab w:val="left" w:pos="2680"/>
        </w:tabs>
        <w:ind w:left="150" w:leftChars="0" w:firstLine="480" w:firstLineChars="0"/>
        <w:jc w:val="left"/>
        <w:rPr>
          <w:rFonts w:hint="eastAsia"/>
          <w:vertAlign w:val="baseline"/>
          <w:lang w:val="en-US" w:eastAsia="zh-CN"/>
        </w:rPr>
      </w:pPr>
      <w:r>
        <w:rPr>
          <w:rFonts w:hint="eastAsia"/>
          <w:vertAlign w:val="baseline"/>
          <w:lang w:val="en-US" w:eastAsia="zh-CN"/>
        </w:rPr>
        <w:t>（1）厂家报价表统一采用我公司提供的“报价明细表”。</w:t>
      </w:r>
    </w:p>
    <w:p>
      <w:pPr>
        <w:numPr>
          <w:ilvl w:val="0"/>
          <w:numId w:val="0"/>
        </w:numPr>
        <w:tabs>
          <w:tab w:val="left" w:pos="2680"/>
        </w:tabs>
        <w:ind w:left="630" w:leftChars="300" w:firstLine="210" w:firstLineChars="100"/>
        <w:jc w:val="left"/>
        <w:rPr>
          <w:rFonts w:hint="eastAsia"/>
          <w:vertAlign w:val="baseline"/>
          <w:lang w:val="en-US" w:eastAsia="zh-CN"/>
        </w:rPr>
      </w:pPr>
      <w:r>
        <w:rPr>
          <w:rFonts w:hint="eastAsia"/>
          <w:vertAlign w:val="baseline"/>
          <w:lang w:val="en-US" w:eastAsia="zh-CN"/>
        </w:rPr>
        <w:t>（2）报价表中需详细列出易损件及非标件清单，并对此进行报价，其中标准易损件需要列出准确型号品牌，非标易损件和其他非标件需提供详细制作图纸。</w:t>
      </w:r>
    </w:p>
    <w:p>
      <w:pPr>
        <w:numPr>
          <w:ilvl w:val="0"/>
          <w:numId w:val="0"/>
        </w:numPr>
        <w:tabs>
          <w:tab w:val="left" w:pos="2680"/>
        </w:tabs>
        <w:ind w:left="630" w:leftChars="300" w:firstLine="210" w:firstLineChars="100"/>
        <w:jc w:val="left"/>
        <w:rPr>
          <w:rFonts w:hint="eastAsia"/>
          <w:vertAlign w:val="baseline"/>
          <w:lang w:val="en-US" w:eastAsia="zh-CN"/>
        </w:rPr>
      </w:pPr>
      <w:r>
        <w:rPr>
          <w:rFonts w:hint="eastAsia"/>
          <w:vertAlign w:val="baseline"/>
          <w:lang w:val="en-US" w:eastAsia="zh-CN"/>
        </w:rPr>
        <w:t>（3）相关零件报价及图纸提供情况作为评标参考依据。易损件及非标件价格作为备件参考价格，不得随意涨价。</w:t>
      </w:r>
    </w:p>
    <w:p>
      <w:pPr>
        <w:numPr>
          <w:ilvl w:val="0"/>
          <w:numId w:val="0"/>
        </w:numPr>
        <w:tabs>
          <w:tab w:val="left" w:pos="2680"/>
        </w:tabs>
        <w:ind w:firstLine="840" w:firstLineChars="400"/>
        <w:jc w:val="left"/>
        <w:rPr>
          <w:rFonts w:hint="eastAsia"/>
          <w:vertAlign w:val="baseline"/>
          <w:lang w:val="en-US" w:eastAsia="zh-CN"/>
        </w:rPr>
      </w:pPr>
      <w:r>
        <w:rPr>
          <w:rFonts w:hint="eastAsia"/>
          <w:vertAlign w:val="baseline"/>
          <w:lang w:val="en-US" w:eastAsia="zh-CN"/>
        </w:rPr>
        <w:t>（4）以上报价表格式详见附表（一）（二）（三）。</w:t>
      </w:r>
    </w:p>
    <w:p>
      <w:pPr>
        <w:numPr>
          <w:ilvl w:val="0"/>
          <w:numId w:val="8"/>
        </w:numPr>
        <w:tabs>
          <w:tab w:val="left" w:pos="2680"/>
        </w:tabs>
        <w:ind w:left="150" w:leftChars="0" w:firstLine="480" w:firstLineChars="0"/>
        <w:jc w:val="left"/>
        <w:rPr>
          <w:rFonts w:hint="eastAsia"/>
          <w:sz w:val="24"/>
          <w:szCs w:val="24"/>
          <w:lang w:eastAsia="zh-CN"/>
        </w:rPr>
      </w:pPr>
      <w:r>
        <w:rPr>
          <w:rFonts w:hint="eastAsia" w:ascii="宋体" w:hAnsi="宋体"/>
          <w:sz w:val="24"/>
        </w:rPr>
        <w:t>投标方需与我方技术 、生产等人员技术交流后方可参与投标。</w:t>
      </w:r>
    </w:p>
    <w:p>
      <w:pPr>
        <w:pStyle w:val="2"/>
        <w:numPr>
          <w:ilvl w:val="0"/>
          <w:numId w:val="8"/>
        </w:numPr>
        <w:ind w:left="150" w:leftChars="0" w:firstLine="480" w:firstLineChars="0"/>
        <w:rPr>
          <w:rFonts w:hint="eastAsia"/>
          <w:lang w:val="en-US" w:eastAsia="zh-CN"/>
        </w:rPr>
      </w:pPr>
      <w:r>
        <w:rPr>
          <w:rFonts w:hint="eastAsia" w:ascii="宋体" w:hAnsi="宋体"/>
          <w:sz w:val="24"/>
        </w:rPr>
        <w:t>综合料场干雾系统、块矿大棚干雾系统、石子库干雾系统分开报价</w:t>
      </w:r>
      <w:r>
        <w:rPr>
          <w:rFonts w:hint="eastAsia" w:ascii="Calibri" w:hAnsi="Calibri"/>
          <w:kern w:val="0"/>
          <w:sz w:val="24"/>
          <w:lang w:eastAsia="zh-CN"/>
        </w:rPr>
        <w:t>。</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b/>
          <w:highlight w:val="none"/>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r>
        <w:rPr>
          <w:rFonts w:hint="eastAsia" w:ascii="宋体" w:hAnsi="宋体"/>
          <w:sz w:val="24"/>
          <w:szCs w:val="24"/>
          <w:highlight w:val="none"/>
          <w:lang w:val="en-US" w:eastAsia="zh-CN"/>
        </w:rPr>
        <w:t>8月20日</w:t>
      </w:r>
    </w:p>
    <w:p>
      <w:pPr>
        <w:tabs>
          <w:tab w:val="left" w:pos="420"/>
          <w:tab w:val="left" w:pos="630"/>
        </w:tabs>
        <w:spacing w:line="300" w:lineRule="auto"/>
        <w:jc w:val="left"/>
        <w:rPr>
          <w:rFonts w:hint="eastAsia" w:ascii="仿宋_GB2312" w:eastAsia="仿宋_GB2312"/>
          <w:b/>
          <w:sz w:val="28"/>
          <w:szCs w:val="28"/>
        </w:rPr>
      </w:pPr>
      <w:r>
        <w:rPr>
          <w:rFonts w:hint="eastAsia" w:ascii="隶书" w:hAnsi="宋体" w:eastAsia="隶书"/>
          <w:sz w:val="24"/>
          <w:szCs w:val="24"/>
        </w:rPr>
        <w:t>附件</w:t>
      </w:r>
      <w:r>
        <w:rPr>
          <w:rFonts w:hint="eastAsia" w:ascii="隶书" w:hAnsi="宋体" w:eastAsia="隶书"/>
          <w:sz w:val="24"/>
          <w:szCs w:val="24"/>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5.05pt;margin-top:12.9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仿宋_GB2312" w:eastAsia="仿宋_GB2312"/>
          <w:b w:val="0"/>
          <w:bCs/>
          <w:sz w:val="28"/>
          <w:szCs w:val="28"/>
        </w:rPr>
        <w:t>whxxzg001@qq.com</w:t>
      </w:r>
      <w:r>
        <w:rPr>
          <w:rFonts w:hint="eastAsia" w:ascii="宋体" w:hAnsi="宋体"/>
          <w:b w:val="0"/>
          <w:bCs/>
          <w:sz w:val="28"/>
          <w:szCs w:val="28"/>
        </w:rPr>
        <w:t>（</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2A590"/>
    <w:multiLevelType w:val="singleLevel"/>
    <w:tmpl w:val="89D2A590"/>
    <w:lvl w:ilvl="0" w:tentative="0">
      <w:start w:val="1"/>
      <w:numFmt w:val="decimal"/>
      <w:suff w:val="space"/>
      <w:lvlText w:val="%1."/>
      <w:lvlJc w:val="left"/>
      <w:pPr>
        <w:ind w:left="150"/>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823B21"/>
    <w:rsid w:val="048927A7"/>
    <w:rsid w:val="04D7782A"/>
    <w:rsid w:val="05325D34"/>
    <w:rsid w:val="053B5FB3"/>
    <w:rsid w:val="05C52E89"/>
    <w:rsid w:val="061F2A8E"/>
    <w:rsid w:val="06CB7169"/>
    <w:rsid w:val="0831406E"/>
    <w:rsid w:val="089962E5"/>
    <w:rsid w:val="08A96692"/>
    <w:rsid w:val="0AA80F02"/>
    <w:rsid w:val="0BFF25BD"/>
    <w:rsid w:val="0C3E3117"/>
    <w:rsid w:val="0C806F4E"/>
    <w:rsid w:val="0CBC295F"/>
    <w:rsid w:val="0CFA4460"/>
    <w:rsid w:val="0D8C67C3"/>
    <w:rsid w:val="0DF07D84"/>
    <w:rsid w:val="0E497616"/>
    <w:rsid w:val="0E842CB1"/>
    <w:rsid w:val="0EE35647"/>
    <w:rsid w:val="0F0803D8"/>
    <w:rsid w:val="0F347211"/>
    <w:rsid w:val="105F6077"/>
    <w:rsid w:val="10CA64E1"/>
    <w:rsid w:val="110928F7"/>
    <w:rsid w:val="11654D47"/>
    <w:rsid w:val="11A72D7D"/>
    <w:rsid w:val="11D5059D"/>
    <w:rsid w:val="13243E00"/>
    <w:rsid w:val="135C10D5"/>
    <w:rsid w:val="139F3DA1"/>
    <w:rsid w:val="13D576D7"/>
    <w:rsid w:val="15E242EE"/>
    <w:rsid w:val="16541AFE"/>
    <w:rsid w:val="1694444C"/>
    <w:rsid w:val="17F97F08"/>
    <w:rsid w:val="18ED4DB4"/>
    <w:rsid w:val="19B16948"/>
    <w:rsid w:val="1A8A6D05"/>
    <w:rsid w:val="1B755E8F"/>
    <w:rsid w:val="1C386C52"/>
    <w:rsid w:val="1C730BDE"/>
    <w:rsid w:val="1CBD2D28"/>
    <w:rsid w:val="1CCB1E53"/>
    <w:rsid w:val="1CD632B5"/>
    <w:rsid w:val="1D2E11E1"/>
    <w:rsid w:val="1E937D02"/>
    <w:rsid w:val="1F4242F7"/>
    <w:rsid w:val="1F802445"/>
    <w:rsid w:val="1F8D179F"/>
    <w:rsid w:val="20311578"/>
    <w:rsid w:val="21133B37"/>
    <w:rsid w:val="21534F77"/>
    <w:rsid w:val="21A2160C"/>
    <w:rsid w:val="22740661"/>
    <w:rsid w:val="22B96773"/>
    <w:rsid w:val="22BE52C7"/>
    <w:rsid w:val="22E00851"/>
    <w:rsid w:val="233F58A1"/>
    <w:rsid w:val="23D22DCD"/>
    <w:rsid w:val="24563EF9"/>
    <w:rsid w:val="25B129B0"/>
    <w:rsid w:val="260415FD"/>
    <w:rsid w:val="26F50CB1"/>
    <w:rsid w:val="2711064A"/>
    <w:rsid w:val="278055FF"/>
    <w:rsid w:val="27B66F98"/>
    <w:rsid w:val="288D3DC5"/>
    <w:rsid w:val="28E2171B"/>
    <w:rsid w:val="29401D6D"/>
    <w:rsid w:val="2B01384A"/>
    <w:rsid w:val="2B9A196C"/>
    <w:rsid w:val="2BB31329"/>
    <w:rsid w:val="2BF40243"/>
    <w:rsid w:val="2C204052"/>
    <w:rsid w:val="2C4E01C4"/>
    <w:rsid w:val="2CC203FF"/>
    <w:rsid w:val="2CF31D5E"/>
    <w:rsid w:val="2E3D1B0F"/>
    <w:rsid w:val="2E4345D8"/>
    <w:rsid w:val="2E996B39"/>
    <w:rsid w:val="2F52396A"/>
    <w:rsid w:val="2F641B1C"/>
    <w:rsid w:val="3036622A"/>
    <w:rsid w:val="306C0A5F"/>
    <w:rsid w:val="30CA3841"/>
    <w:rsid w:val="3130279D"/>
    <w:rsid w:val="32E168C5"/>
    <w:rsid w:val="34111352"/>
    <w:rsid w:val="34605C31"/>
    <w:rsid w:val="35212328"/>
    <w:rsid w:val="35997E95"/>
    <w:rsid w:val="35A807F9"/>
    <w:rsid w:val="36A65EF8"/>
    <w:rsid w:val="373827F1"/>
    <w:rsid w:val="379345D1"/>
    <w:rsid w:val="37974BFF"/>
    <w:rsid w:val="37BE23C2"/>
    <w:rsid w:val="380A204F"/>
    <w:rsid w:val="387F2F2C"/>
    <w:rsid w:val="38CF2121"/>
    <w:rsid w:val="390D54AD"/>
    <w:rsid w:val="39C63744"/>
    <w:rsid w:val="3A3F65BD"/>
    <w:rsid w:val="3A403ED4"/>
    <w:rsid w:val="3A773720"/>
    <w:rsid w:val="3B4E7826"/>
    <w:rsid w:val="3C3968A5"/>
    <w:rsid w:val="3C456A69"/>
    <w:rsid w:val="3C487023"/>
    <w:rsid w:val="3C887586"/>
    <w:rsid w:val="3D5A40AB"/>
    <w:rsid w:val="3DB441B2"/>
    <w:rsid w:val="3E371640"/>
    <w:rsid w:val="3EB93F1F"/>
    <w:rsid w:val="3F0B65A3"/>
    <w:rsid w:val="3F3B74E7"/>
    <w:rsid w:val="4030172B"/>
    <w:rsid w:val="407E43A0"/>
    <w:rsid w:val="41394D83"/>
    <w:rsid w:val="41A706B0"/>
    <w:rsid w:val="422E1FDF"/>
    <w:rsid w:val="423C71D1"/>
    <w:rsid w:val="426213B7"/>
    <w:rsid w:val="42CE1EFE"/>
    <w:rsid w:val="43263916"/>
    <w:rsid w:val="443458A7"/>
    <w:rsid w:val="4500284B"/>
    <w:rsid w:val="45407B03"/>
    <w:rsid w:val="455A1E29"/>
    <w:rsid w:val="45C004AA"/>
    <w:rsid w:val="460421A7"/>
    <w:rsid w:val="466F4AD0"/>
    <w:rsid w:val="47AD4330"/>
    <w:rsid w:val="47DF42C8"/>
    <w:rsid w:val="47ED20D1"/>
    <w:rsid w:val="49280B38"/>
    <w:rsid w:val="4A613FE2"/>
    <w:rsid w:val="4AEE666D"/>
    <w:rsid w:val="4B635392"/>
    <w:rsid w:val="4BA21255"/>
    <w:rsid w:val="4C7F10C2"/>
    <w:rsid w:val="4DC66F68"/>
    <w:rsid w:val="4EE83AC5"/>
    <w:rsid w:val="51A458AF"/>
    <w:rsid w:val="527641F5"/>
    <w:rsid w:val="52EE0AE7"/>
    <w:rsid w:val="53E401BB"/>
    <w:rsid w:val="544B25E8"/>
    <w:rsid w:val="54BD758A"/>
    <w:rsid w:val="554C057B"/>
    <w:rsid w:val="55B76154"/>
    <w:rsid w:val="566E6D8E"/>
    <w:rsid w:val="56FF0A43"/>
    <w:rsid w:val="57D705F2"/>
    <w:rsid w:val="58302E38"/>
    <w:rsid w:val="5A82285C"/>
    <w:rsid w:val="5A913B15"/>
    <w:rsid w:val="5B1D2529"/>
    <w:rsid w:val="5B35349E"/>
    <w:rsid w:val="5B864175"/>
    <w:rsid w:val="5BA959B9"/>
    <w:rsid w:val="5C804D70"/>
    <w:rsid w:val="5D173705"/>
    <w:rsid w:val="5D1B4B8A"/>
    <w:rsid w:val="5E2F1217"/>
    <w:rsid w:val="5E611270"/>
    <w:rsid w:val="5EB2026E"/>
    <w:rsid w:val="5EFF4754"/>
    <w:rsid w:val="5F2610B1"/>
    <w:rsid w:val="61033D16"/>
    <w:rsid w:val="617A1B91"/>
    <w:rsid w:val="622529C0"/>
    <w:rsid w:val="625B24D7"/>
    <w:rsid w:val="62CD795C"/>
    <w:rsid w:val="634A5274"/>
    <w:rsid w:val="659D682D"/>
    <w:rsid w:val="662E30DC"/>
    <w:rsid w:val="66EA0C9A"/>
    <w:rsid w:val="66FB3BC1"/>
    <w:rsid w:val="678F7868"/>
    <w:rsid w:val="68985C4A"/>
    <w:rsid w:val="68D8275C"/>
    <w:rsid w:val="695E0A51"/>
    <w:rsid w:val="699E6853"/>
    <w:rsid w:val="6A672702"/>
    <w:rsid w:val="6AC46C4B"/>
    <w:rsid w:val="6AE713EB"/>
    <w:rsid w:val="6C234317"/>
    <w:rsid w:val="6C7B13C4"/>
    <w:rsid w:val="6CA73029"/>
    <w:rsid w:val="6D58334B"/>
    <w:rsid w:val="6DAA3634"/>
    <w:rsid w:val="6E6E422F"/>
    <w:rsid w:val="6ED71557"/>
    <w:rsid w:val="6F4860A5"/>
    <w:rsid w:val="706A3FF6"/>
    <w:rsid w:val="70D03715"/>
    <w:rsid w:val="70E0155E"/>
    <w:rsid w:val="711219DD"/>
    <w:rsid w:val="71826C8A"/>
    <w:rsid w:val="71E27977"/>
    <w:rsid w:val="71F96DCA"/>
    <w:rsid w:val="72BF20C7"/>
    <w:rsid w:val="732D2693"/>
    <w:rsid w:val="7357254E"/>
    <w:rsid w:val="73611393"/>
    <w:rsid w:val="73B343B9"/>
    <w:rsid w:val="743222CE"/>
    <w:rsid w:val="76206BC5"/>
    <w:rsid w:val="778A5616"/>
    <w:rsid w:val="780E1C86"/>
    <w:rsid w:val="790532F9"/>
    <w:rsid w:val="797A02ED"/>
    <w:rsid w:val="79B23223"/>
    <w:rsid w:val="79DE1204"/>
    <w:rsid w:val="7A6263B1"/>
    <w:rsid w:val="7ADF17B7"/>
    <w:rsid w:val="7B1D1FA3"/>
    <w:rsid w:val="7B386B42"/>
    <w:rsid w:val="7B865EF7"/>
    <w:rsid w:val="7BAB42B4"/>
    <w:rsid w:val="7BBC102F"/>
    <w:rsid w:val="7BD509C2"/>
    <w:rsid w:val="7D2A47F3"/>
    <w:rsid w:val="7E0019E6"/>
    <w:rsid w:val="7E915596"/>
    <w:rsid w:val="7EA262F3"/>
    <w:rsid w:val="7EAF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2"/>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21"/>
    <w:basedOn w:val="12"/>
    <w:qFormat/>
    <w:uiPriority w:val="0"/>
    <w:rPr>
      <w:rFonts w:hint="eastAsia" w:ascii="宋体" w:hAnsi="宋体" w:eastAsia="宋体" w:cs="宋体"/>
      <w:color w:val="000000"/>
      <w:sz w:val="24"/>
      <w:szCs w:val="24"/>
      <w:u w:val="none"/>
    </w:rPr>
  </w:style>
  <w:style w:type="character" w:customStyle="1" w:styleId="27">
    <w:name w:val="font4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2019-12-11T08:01:00Z</cp:lastPrinted>
  <dcterms:modified xsi:type="dcterms:W3CDTF">2021-08-20T10:50:45Z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3DA2DC81310544B7B036D75E3FC66CAB</vt:lpwstr>
  </property>
</Properties>
</file>