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炼钢用铬质引流砂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lang w:val="en-US" w:eastAsia="zh-CN"/>
        </w:rPr>
        <w:t>3</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LGSC</w:t>
      </w:r>
      <w:r>
        <w:rPr>
          <w:rFonts w:hint="eastAsia" w:ascii="宋体" w:hAnsi="宋体"/>
          <w:u w:val="single"/>
          <w:lang w:val="en-US" w:eastAsia="zh-CN"/>
        </w:rPr>
        <w:t>2021090004GZYLS</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炼钢用铬质引流砂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u w:val="single"/>
          <w:lang w:val="en-US" w:eastAsia="zh-CN"/>
        </w:rPr>
        <w:t>20</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9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24</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lang w:val="en-US" w:eastAsia="zh-CN"/>
        </w:rPr>
        <w:t>20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1、炼钢连铸产量约300万吨/年。供方包工、包料，按吨钢结算。</w:t>
      </w:r>
    </w:p>
    <w:p>
      <w:pPr>
        <w:numPr>
          <w:numId w:val="0"/>
        </w:numPr>
        <w:spacing w:line="360" w:lineRule="auto"/>
        <w:ind w:left="1322" w:leftChars="400" w:hanging="482" w:hanging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2、具体技术要求、考核办法、结算方式详见招标统一技术平台。投标厂家必须满足平台技术要求。</w:t>
      </w:r>
    </w:p>
    <w:p>
      <w:pPr>
        <w:numPr>
          <w:numId w:val="0"/>
        </w:numPr>
        <w:spacing w:line="360" w:lineRule="auto"/>
        <w:ind w:left="1322" w:leftChars="400" w:hanging="482" w:hanging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3、要求生产企业，提供2019年至今，2份及以上国内先进优特钢企业（如兴澄、邢钢、南钢、沙钢、方大、柳钢、日照、中天、安钢、马钢等）合同业绩，其中一份为正在执行的（附上合同、技术协议及发票复印件，要求按合同+技术协议+发票的顺序整理好）</w:t>
      </w:r>
    </w:p>
    <w:p>
      <w:pPr>
        <w:numPr>
          <w:numId w:val="0"/>
        </w:numPr>
        <w:spacing w:line="360" w:lineRule="auto"/>
        <w:ind w:left="1322" w:leftChars="400" w:hanging="482" w:hanging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4、中标单位先签订试用合同，试用批次不大于2次，每批次试用普钢、优钢各150炉。试用后由炼钢部出具试用报告。试验合格后，签订正式合同，试验期内供货正常结算；试验不合格，不予签订合同，试验期内供货不予结算并扣除投标保证金。</w:t>
      </w:r>
    </w:p>
    <w:p>
      <w:pPr>
        <w:numPr>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5、招标保证金缴纳5万元，中标后按公司要求缴纳60万安全保障金。</w:t>
      </w:r>
    </w:p>
    <w:p>
      <w:pPr>
        <w:numPr>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6、合同执行周期为12个月。</w:t>
      </w: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rPr>
          <w:rFonts w:hint="eastAsia"/>
        </w:rPr>
      </w:pPr>
      <w:bookmarkStart w:id="0" w:name="_GoBack"/>
      <w:bookmarkEnd w:id="0"/>
    </w:p>
    <w:p>
      <w:pPr>
        <w:pStyle w:val="2"/>
        <w:rPr>
          <w:rFonts w:hint="eastAsia"/>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炼钢用铬质引流砂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2045"/>
        <w:gridCol w:w="476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44" w:type="pct"/>
            <w:noWrap w:val="0"/>
            <w:vAlign w:val="center"/>
          </w:tcPr>
          <w:p>
            <w:pPr>
              <w:jc w:val="center"/>
              <w:rPr>
                <w:rFonts w:hint="eastAsia"/>
                <w:sz w:val="18"/>
                <w:szCs w:val="18"/>
              </w:rPr>
            </w:pPr>
            <w:r>
              <w:rPr>
                <w:rFonts w:hint="eastAsia"/>
                <w:sz w:val="18"/>
                <w:szCs w:val="18"/>
              </w:rPr>
              <w:t>序号</w:t>
            </w:r>
          </w:p>
        </w:tc>
        <w:tc>
          <w:tcPr>
            <w:tcW w:w="1149"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678" w:type="pct"/>
            <w:noWrap w:val="0"/>
            <w:vAlign w:val="center"/>
          </w:tcPr>
          <w:p>
            <w:pPr>
              <w:jc w:val="center"/>
              <w:rPr>
                <w:rFonts w:hint="eastAsia"/>
                <w:sz w:val="18"/>
                <w:szCs w:val="18"/>
              </w:rPr>
            </w:pPr>
            <w:r>
              <w:rPr>
                <w:rFonts w:hint="eastAsia"/>
                <w:sz w:val="18"/>
                <w:szCs w:val="18"/>
              </w:rPr>
              <w:t>含税、含运费报价（元/吨钢）</w:t>
            </w:r>
          </w:p>
        </w:tc>
        <w:tc>
          <w:tcPr>
            <w:tcW w:w="827"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44" w:type="pct"/>
            <w:vMerge w:val="restart"/>
            <w:noWrap w:val="0"/>
            <w:vAlign w:val="center"/>
          </w:tcPr>
          <w:p>
            <w:pPr>
              <w:jc w:val="center"/>
              <w:rPr>
                <w:sz w:val="24"/>
                <w:szCs w:val="24"/>
              </w:rPr>
            </w:pPr>
            <w:r>
              <w:rPr>
                <w:rFonts w:hint="eastAsia"/>
                <w:sz w:val="24"/>
                <w:szCs w:val="24"/>
              </w:rPr>
              <w:t>1</w:t>
            </w:r>
          </w:p>
        </w:tc>
        <w:tc>
          <w:tcPr>
            <w:tcW w:w="1149" w:type="pct"/>
            <w:vMerge w:val="restart"/>
            <w:noWrap w:val="0"/>
            <w:vAlign w:val="center"/>
          </w:tcPr>
          <w:p>
            <w:pPr>
              <w:spacing w:line="400" w:lineRule="exact"/>
              <w:jc w:val="center"/>
              <w:rPr>
                <w:rFonts w:hint="default" w:ascii="宋体" w:hAnsi="宋体"/>
                <w:b/>
                <w:color w:val="000000"/>
                <w:sz w:val="24"/>
                <w:szCs w:val="24"/>
                <w:lang w:val="en-US"/>
              </w:rPr>
            </w:pPr>
            <w:r>
              <w:rPr>
                <w:rFonts w:hint="eastAsia" w:ascii="宋体" w:hAnsi="宋体"/>
                <w:b/>
                <w:color w:val="FF0000"/>
                <w:sz w:val="28"/>
                <w:szCs w:val="28"/>
                <w:lang w:val="en-US" w:eastAsia="zh-CN"/>
              </w:rPr>
              <w:t>炼钢用铬质引流砂</w:t>
            </w:r>
          </w:p>
        </w:tc>
        <w:tc>
          <w:tcPr>
            <w:tcW w:w="2678"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（元/吨钢）</w:t>
            </w:r>
          </w:p>
        </w:tc>
        <w:tc>
          <w:tcPr>
            <w:tcW w:w="827" w:type="pct"/>
            <w:vMerge w:val="restart"/>
            <w:noWrap w:val="0"/>
            <w:vAlign w:val="top"/>
          </w:tcPr>
          <w:p>
            <w:pPr>
              <w:spacing w:line="400" w:lineRule="exact"/>
              <w:rPr>
                <w:rFonts w:hint="eastAsia" w:ascii="宋体" w:hAnsi="宋体"/>
                <w:b/>
                <w:color w:val="FF0000"/>
                <w:sz w:val="28"/>
                <w:szCs w:val="28"/>
              </w:rPr>
            </w:pPr>
          </w:p>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44" w:type="pct"/>
            <w:vMerge w:val="continue"/>
            <w:noWrap w:val="0"/>
            <w:vAlign w:val="center"/>
          </w:tcPr>
          <w:p>
            <w:pPr>
              <w:jc w:val="center"/>
              <w:rPr>
                <w:rFonts w:hint="eastAsia"/>
                <w:sz w:val="24"/>
                <w:szCs w:val="24"/>
              </w:rPr>
            </w:pPr>
          </w:p>
        </w:tc>
        <w:tc>
          <w:tcPr>
            <w:tcW w:w="1149" w:type="pct"/>
            <w:vMerge w:val="continue"/>
            <w:noWrap w:val="0"/>
            <w:vAlign w:val="center"/>
          </w:tcPr>
          <w:p>
            <w:pPr>
              <w:jc w:val="center"/>
              <w:rPr>
                <w:rFonts w:hint="eastAsia"/>
                <w:sz w:val="24"/>
                <w:szCs w:val="24"/>
              </w:rPr>
            </w:pPr>
          </w:p>
        </w:tc>
        <w:tc>
          <w:tcPr>
            <w:tcW w:w="2678"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r>
              <w:rPr>
                <w:rFonts w:hint="eastAsia"/>
                <w:sz w:val="24"/>
                <w:szCs w:val="24"/>
                <w:lang w:val="en-US" w:eastAsia="zh-CN"/>
              </w:rPr>
              <w:t xml:space="preserve">                       </w:t>
            </w:r>
            <w:r>
              <w:rPr>
                <w:rFonts w:hint="eastAsia"/>
                <w:sz w:val="18"/>
                <w:szCs w:val="18"/>
              </w:rPr>
              <w:t>（元/吨钢）</w:t>
            </w:r>
          </w:p>
        </w:tc>
        <w:tc>
          <w:tcPr>
            <w:tcW w:w="827"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4"/>
            <w:noWrap w:val="0"/>
            <w:vAlign w:val="top"/>
          </w:tcPr>
          <w:p>
            <w:pPr>
              <w:rPr>
                <w:rFonts w:hint="eastAsia"/>
                <w:sz w:val="28"/>
                <w:szCs w:val="28"/>
              </w:rPr>
            </w:pPr>
            <w:r>
              <w:rPr>
                <w:rFonts w:hint="eastAsia"/>
                <w:sz w:val="28"/>
                <w:szCs w:val="28"/>
              </w:rPr>
              <w:t>备注: 以上报价含</w:t>
            </w:r>
            <w:r>
              <w:rPr>
                <w:rFonts w:hint="eastAsia"/>
                <w:sz w:val="28"/>
                <w:szCs w:val="28"/>
                <w:lang w:val="en-US" w:eastAsia="zh-CN"/>
              </w:rPr>
              <w:t>13%</w:t>
            </w:r>
            <w:r>
              <w:rPr>
                <w:rFonts w:hint="eastAsia"/>
                <w:sz w:val="28"/>
                <w:szCs w:val="28"/>
              </w:rPr>
              <w:t>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000" w:type="pct"/>
            <w:gridSpan w:val="4"/>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4"/>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4"/>
            <w:noWrap w:val="0"/>
            <w:vAlign w:val="top"/>
          </w:tcPr>
          <w:p>
            <w:pPr>
              <w:rPr>
                <w:rFonts w:hint="eastAsia"/>
                <w:sz w:val="28"/>
                <w:szCs w:val="28"/>
              </w:rPr>
            </w:pPr>
            <w:r>
              <w:rPr>
                <w:rFonts w:hint="eastAsia"/>
                <w:sz w:val="28"/>
                <w:szCs w:val="28"/>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31406E"/>
    <w:rsid w:val="083A4C2B"/>
    <w:rsid w:val="085B58B3"/>
    <w:rsid w:val="08A96692"/>
    <w:rsid w:val="090F2391"/>
    <w:rsid w:val="097B7AE5"/>
    <w:rsid w:val="0AF63A42"/>
    <w:rsid w:val="0B106156"/>
    <w:rsid w:val="0B5E1A54"/>
    <w:rsid w:val="0BFF25BD"/>
    <w:rsid w:val="0CBC295F"/>
    <w:rsid w:val="0D2F279C"/>
    <w:rsid w:val="0DCC0A80"/>
    <w:rsid w:val="0DF07D84"/>
    <w:rsid w:val="0E497616"/>
    <w:rsid w:val="0E842CB1"/>
    <w:rsid w:val="0EEB0BB2"/>
    <w:rsid w:val="0F0803D8"/>
    <w:rsid w:val="0F347211"/>
    <w:rsid w:val="0FA76F34"/>
    <w:rsid w:val="10031B51"/>
    <w:rsid w:val="10094A89"/>
    <w:rsid w:val="10CA64E1"/>
    <w:rsid w:val="110928F7"/>
    <w:rsid w:val="114D2C06"/>
    <w:rsid w:val="11654D47"/>
    <w:rsid w:val="11BA6270"/>
    <w:rsid w:val="12623A3F"/>
    <w:rsid w:val="135C10D5"/>
    <w:rsid w:val="139F3DA1"/>
    <w:rsid w:val="13D576D7"/>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4A314A"/>
    <w:rsid w:val="426213B7"/>
    <w:rsid w:val="42CE1EFE"/>
    <w:rsid w:val="435C1211"/>
    <w:rsid w:val="43DE4636"/>
    <w:rsid w:val="44106AE0"/>
    <w:rsid w:val="44367FF1"/>
    <w:rsid w:val="4500284B"/>
    <w:rsid w:val="45407B03"/>
    <w:rsid w:val="45C004AA"/>
    <w:rsid w:val="46587D68"/>
    <w:rsid w:val="46CC5915"/>
    <w:rsid w:val="47847BD9"/>
    <w:rsid w:val="47AD4330"/>
    <w:rsid w:val="480A05A9"/>
    <w:rsid w:val="48254A41"/>
    <w:rsid w:val="48582775"/>
    <w:rsid w:val="48836EA0"/>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D23274F"/>
    <w:rsid w:val="4D7B2123"/>
    <w:rsid w:val="4D817459"/>
    <w:rsid w:val="4DC66F68"/>
    <w:rsid w:val="4E091027"/>
    <w:rsid w:val="4E1D39CD"/>
    <w:rsid w:val="4ED37EC9"/>
    <w:rsid w:val="510A2956"/>
    <w:rsid w:val="514F2EE0"/>
    <w:rsid w:val="517F329F"/>
    <w:rsid w:val="51A458AF"/>
    <w:rsid w:val="51CD60D0"/>
    <w:rsid w:val="527F49C8"/>
    <w:rsid w:val="52D332CB"/>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2447C0"/>
    <w:rsid w:val="5CC70FAC"/>
    <w:rsid w:val="5D173705"/>
    <w:rsid w:val="5D1B4B8A"/>
    <w:rsid w:val="5D2F4D69"/>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BB3784E"/>
    <w:rsid w:val="6C7B13C4"/>
    <w:rsid w:val="6C7F53F5"/>
    <w:rsid w:val="6CA73029"/>
    <w:rsid w:val="6CB25A7F"/>
    <w:rsid w:val="6D027CD6"/>
    <w:rsid w:val="6DD71BCE"/>
    <w:rsid w:val="6E3164EF"/>
    <w:rsid w:val="6E487B66"/>
    <w:rsid w:val="6E550ED4"/>
    <w:rsid w:val="6EA5652C"/>
    <w:rsid w:val="6ECD772E"/>
    <w:rsid w:val="6ED71557"/>
    <w:rsid w:val="6F0C38CA"/>
    <w:rsid w:val="6F6774FE"/>
    <w:rsid w:val="70243E6C"/>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386B42"/>
    <w:rsid w:val="7B5C145D"/>
    <w:rsid w:val="7BB57665"/>
    <w:rsid w:val="7BBC102F"/>
    <w:rsid w:val="7BD509C2"/>
    <w:rsid w:val="7BDC0741"/>
    <w:rsid w:val="7C070CDC"/>
    <w:rsid w:val="7C9625E2"/>
    <w:rsid w:val="7D0716F9"/>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14</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2021-09-03T02:40:28Z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