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石灰石</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lang w:val="en-US" w:eastAsia="zh-CN"/>
        </w:rPr>
        <w:t>9</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17</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lang w:val="en-US" w:eastAsia="zh-CN"/>
        </w:rPr>
        <w:t xml:space="preserve">  </w:t>
      </w: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LTSC202109015SHS</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石灰石</w:t>
      </w:r>
      <w:r>
        <w:rPr>
          <w:rFonts w:hint="eastAsia" w:ascii="宋体" w:hAnsi="宋体"/>
          <w:b/>
          <w:color w:val="FF0000"/>
          <w:sz w:val="28"/>
          <w:szCs w:val="28"/>
        </w:rPr>
        <w:t>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蔺欢欢</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15155307275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ascii="宋体" w:hAnsi="宋体"/>
          <w:bCs/>
          <w:sz w:val="24"/>
          <w:szCs w:val="24"/>
        </w:rPr>
        <w:t>月</w:t>
      </w:r>
      <w:r>
        <w:rPr>
          <w:rFonts w:hint="eastAsia" w:ascii="宋体" w:hAnsi="宋体"/>
          <w:sz w:val="24"/>
          <w:szCs w:val="24"/>
          <w:u w:val="single"/>
          <w:lang w:val="en-US" w:eastAsia="zh-CN"/>
        </w:rPr>
        <w:t>26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27日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9</w:t>
      </w:r>
      <w:r>
        <w:rPr>
          <w:rFonts w:hint="eastAsia" w:ascii="宋体" w:hAnsi="宋体"/>
          <w:bCs/>
          <w:color w:val="7030A0"/>
          <w:sz w:val="24"/>
          <w:szCs w:val="24"/>
        </w:rPr>
        <w:t>月</w:t>
      </w:r>
      <w:r>
        <w:rPr>
          <w:rFonts w:hint="eastAsia" w:ascii="宋体" w:hAnsi="宋体"/>
          <w:sz w:val="24"/>
          <w:szCs w:val="24"/>
          <w:lang w:val="en-US" w:eastAsia="zh-CN"/>
        </w:rPr>
        <w:t>26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0"/>
        </w:numPr>
        <w:spacing w:line="300" w:lineRule="auto"/>
        <w:ind w:left="420" w:leftChars="0"/>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color w:val="FF0000"/>
          <w:sz w:val="24"/>
          <w:szCs w:val="24"/>
          <w:lang w:val="en-US" w:eastAsia="zh-CN"/>
        </w:rPr>
      </w:pPr>
      <w:r>
        <w:rPr>
          <w:rFonts w:hint="eastAsia" w:ascii="宋体" w:hAnsi="宋体"/>
          <w:color w:val="FF0000"/>
          <w:sz w:val="24"/>
          <w:szCs w:val="24"/>
          <w:lang w:val="en-US" w:eastAsia="zh-CN"/>
        </w:rPr>
        <w:t>3 .标书需要胶装。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现汇</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442" w:firstLineChars="200"/>
        <w:rPr>
          <w:rFonts w:hint="eastAsia" w:ascii="宋体" w:hAnsi="宋体"/>
          <w:color w:val="FF0000"/>
          <w:sz w:val="24"/>
          <w:szCs w:val="24"/>
        </w:rPr>
      </w:pPr>
      <w:r>
        <w:rPr>
          <w:rFonts w:hint="eastAsia" w:ascii="宋体" w:hAnsi="宋体"/>
          <w:b/>
          <w:color w:val="FF0000"/>
          <w:sz w:val="22"/>
          <w:szCs w:val="22"/>
        </w:rPr>
        <w:t xml:space="preserve"> </w:t>
      </w:r>
      <w:r>
        <w:rPr>
          <w:rFonts w:hint="eastAsia" w:ascii="宋体" w:hAnsi="宋体"/>
          <w:color w:val="FF0000"/>
          <w:sz w:val="24"/>
          <w:szCs w:val="24"/>
        </w:rPr>
        <w:t>1、满足附件质量标准要求。</w:t>
      </w:r>
    </w:p>
    <w:p>
      <w:pPr>
        <w:spacing w:line="360" w:lineRule="auto"/>
        <w:ind w:firstLine="480" w:firstLineChars="200"/>
        <w:rPr>
          <w:rFonts w:hint="eastAsia" w:ascii="宋体" w:hAnsi="宋体"/>
          <w:color w:val="FF0000"/>
          <w:sz w:val="24"/>
          <w:szCs w:val="24"/>
        </w:rPr>
      </w:pPr>
      <w:r>
        <w:rPr>
          <w:rFonts w:hint="eastAsia" w:ascii="宋体" w:hAnsi="宋体"/>
          <w:color w:val="FF0000"/>
          <w:sz w:val="24"/>
          <w:szCs w:val="24"/>
        </w:rPr>
        <w:t>2、此次招标招</w:t>
      </w:r>
      <w:r>
        <w:rPr>
          <w:rFonts w:hint="eastAsia" w:ascii="宋体" w:hAnsi="宋体"/>
          <w:color w:val="FF0000"/>
          <w:sz w:val="24"/>
          <w:szCs w:val="24"/>
          <w:lang w:val="en-US" w:eastAsia="zh-CN"/>
        </w:rPr>
        <w:t>两</w:t>
      </w:r>
      <w:r>
        <w:rPr>
          <w:rFonts w:hint="eastAsia" w:ascii="宋体" w:hAnsi="宋体"/>
          <w:color w:val="FF0000"/>
          <w:sz w:val="24"/>
          <w:szCs w:val="24"/>
        </w:rPr>
        <w:t>个月的供货量</w:t>
      </w:r>
      <w:r>
        <w:rPr>
          <w:rFonts w:hint="eastAsia" w:ascii="宋体" w:hAnsi="宋体"/>
          <w:color w:val="FF0000"/>
          <w:sz w:val="24"/>
          <w:szCs w:val="24"/>
          <w:lang w:eastAsia="zh-CN"/>
        </w:rPr>
        <w:t>（</w:t>
      </w:r>
      <w:r>
        <w:rPr>
          <w:rFonts w:hint="eastAsia" w:ascii="宋体" w:hAnsi="宋体"/>
          <w:color w:val="FF0000"/>
          <w:sz w:val="24"/>
          <w:szCs w:val="24"/>
          <w:lang w:val="en-US" w:eastAsia="zh-CN"/>
        </w:rPr>
        <w:t>2021年10月，11月</w:t>
      </w:r>
      <w:r>
        <w:rPr>
          <w:rFonts w:hint="eastAsia" w:ascii="宋体" w:hAnsi="宋体"/>
          <w:color w:val="FF0000"/>
          <w:sz w:val="24"/>
          <w:szCs w:val="24"/>
          <w:lang w:eastAsia="zh-CN"/>
        </w:rPr>
        <w:t>）</w:t>
      </w:r>
      <w:r>
        <w:rPr>
          <w:rFonts w:hint="eastAsia" w:ascii="宋体" w:hAnsi="宋体"/>
          <w:color w:val="FF0000"/>
          <w:sz w:val="24"/>
          <w:szCs w:val="24"/>
        </w:rPr>
        <w:t>，理论上需求量约为</w:t>
      </w:r>
      <w:r>
        <w:rPr>
          <w:rFonts w:hint="eastAsia" w:ascii="宋体" w:hAnsi="宋体"/>
          <w:color w:val="FF0000"/>
          <w:sz w:val="24"/>
          <w:szCs w:val="24"/>
          <w:lang w:val="en-US" w:eastAsia="zh-CN"/>
        </w:rPr>
        <w:t>10</w:t>
      </w:r>
      <w:r>
        <w:rPr>
          <w:rFonts w:hint="eastAsia" w:ascii="宋体" w:hAnsi="宋体"/>
          <w:color w:val="FF0000"/>
          <w:sz w:val="24"/>
          <w:szCs w:val="24"/>
        </w:rPr>
        <w:t>万吨（</w:t>
      </w:r>
      <w:r>
        <w:rPr>
          <w:rFonts w:hint="eastAsia" w:ascii="宋体" w:hAnsi="宋体"/>
          <w:color w:val="FF0000"/>
          <w:sz w:val="24"/>
          <w:szCs w:val="24"/>
          <w:lang w:val="en-US" w:eastAsia="zh-CN"/>
        </w:rPr>
        <w:t>两</w:t>
      </w:r>
      <w:r>
        <w:rPr>
          <w:rFonts w:hint="eastAsia" w:ascii="宋体" w:hAnsi="宋体"/>
          <w:color w:val="FF0000"/>
          <w:sz w:val="24"/>
          <w:szCs w:val="24"/>
        </w:rPr>
        <w:t>个月）。按照单吨价报价，并注明相应的供应数量。</w:t>
      </w:r>
    </w:p>
    <w:p>
      <w:pPr>
        <w:spacing w:line="360" w:lineRule="auto"/>
        <w:ind w:firstLine="480" w:firstLineChars="200"/>
        <w:rPr>
          <w:rFonts w:hint="eastAsia" w:ascii="宋体" w:hAnsi="宋体"/>
          <w:color w:val="FF0000"/>
          <w:sz w:val="24"/>
          <w:szCs w:val="24"/>
        </w:rPr>
      </w:pPr>
      <w:r>
        <w:rPr>
          <w:rFonts w:hint="eastAsia" w:ascii="宋体" w:hAnsi="宋体"/>
          <w:color w:val="FF0000"/>
          <w:sz w:val="24"/>
          <w:szCs w:val="24"/>
        </w:rPr>
        <w:t>3、</w:t>
      </w:r>
      <w:r>
        <w:rPr>
          <w:rFonts w:hint="eastAsia" w:ascii="宋体" w:hAnsi="宋体"/>
          <w:color w:val="FF0000"/>
          <w:sz w:val="24"/>
          <w:szCs w:val="24"/>
          <w:lang w:val="en-US" w:eastAsia="zh-CN"/>
        </w:rPr>
        <w:t>若招标单位为贸易商（非矿山企业），必须持有指定发货矿山的授权函，而且一家矿山只能授权一个贸易商，一个贸易商可以有1-3家矿山授权，但需质量满足需方要求，并在发货前告知矿点，不能出现两家及以上贸易商在同一家矿山发货的情况，贸易商出具承诺书承诺中标后只能在指定矿山发货，如需方发现贸易商未在指定矿山发货的，对此批货物做拒收处理。如有授权矿山因不可抗拒因素不能发货的需向需方报告，需方同意后才能从新矿山发货。</w:t>
      </w:r>
    </w:p>
    <w:p>
      <w:pPr>
        <w:spacing w:line="360" w:lineRule="auto"/>
        <w:ind w:firstLine="480" w:firstLineChars="200"/>
        <w:rPr>
          <w:rFonts w:hint="eastAsia" w:ascii="宋体" w:hAnsi="宋体"/>
          <w:color w:val="FF0000"/>
          <w:sz w:val="24"/>
          <w:szCs w:val="24"/>
          <w:lang w:eastAsia="zh-CN"/>
        </w:rPr>
      </w:pPr>
      <w:r>
        <w:rPr>
          <w:rFonts w:hint="eastAsia" w:ascii="宋体" w:hAnsi="宋体"/>
          <w:color w:val="FF0000"/>
          <w:sz w:val="24"/>
          <w:szCs w:val="24"/>
        </w:rPr>
        <w:t>4、</w:t>
      </w:r>
      <w:r>
        <w:rPr>
          <w:rFonts w:hint="eastAsia" w:ascii="宋体" w:hAnsi="宋体"/>
          <w:color w:val="FF0000"/>
          <w:sz w:val="24"/>
          <w:szCs w:val="24"/>
          <w:lang w:val="en-US" w:eastAsia="zh-CN"/>
        </w:rPr>
        <w:t>本次招标报价按到港价统计，</w:t>
      </w:r>
      <w:r>
        <w:rPr>
          <w:rFonts w:hint="eastAsia" w:ascii="宋体" w:hAnsi="宋体"/>
          <w:color w:val="FF0000"/>
          <w:sz w:val="24"/>
          <w:szCs w:val="24"/>
        </w:rPr>
        <w:t>报价含税含运费，一票结算。具体报价格式见附件清单</w:t>
      </w:r>
      <w:r>
        <w:rPr>
          <w:rFonts w:hint="eastAsia" w:ascii="宋体" w:hAnsi="宋体"/>
          <w:color w:val="FF0000"/>
          <w:sz w:val="24"/>
          <w:szCs w:val="24"/>
          <w:lang w:eastAsia="zh-CN"/>
        </w:rPr>
        <w:t>。</w:t>
      </w: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rPr>
          <w:b/>
          <w:sz w:val="24"/>
          <w:szCs w:val="24"/>
        </w:rPr>
      </w:pPr>
    </w:p>
    <w:p>
      <w:pPr>
        <w:jc w:val="both"/>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default"/>
          <w:lang w:val="en-US" w:eastAsia="zh-CN"/>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9</w:t>
      </w:r>
      <w:r>
        <w:rPr>
          <w:rFonts w:ascii="宋体" w:hAnsi="宋体"/>
          <w:sz w:val="24"/>
          <w:szCs w:val="24"/>
        </w:rPr>
        <w:t>月</w:t>
      </w:r>
      <w:r>
        <w:rPr>
          <w:rFonts w:hint="eastAsia" w:ascii="宋体" w:hAnsi="宋体"/>
          <w:sz w:val="24"/>
          <w:szCs w:val="24"/>
          <w:lang w:val="en-US" w:eastAsia="zh-CN"/>
        </w:rPr>
        <w:t>17</w:t>
      </w:r>
      <w:r>
        <w:rPr>
          <w:rFonts w:hint="eastAsia" w:ascii="宋体" w:hAnsi="宋体"/>
          <w:sz w:val="24"/>
          <w:szCs w:val="24"/>
        </w:rPr>
        <w:t>日</w:t>
      </w:r>
    </w:p>
    <w:p>
      <w:pPr>
        <w:keepNext w:val="0"/>
        <w:keepLines w:val="0"/>
        <w:pageBreakBefore w:val="0"/>
        <w:widowControl w:val="0"/>
        <w:kinsoku/>
        <w:wordWrap/>
        <w:overflowPunct/>
        <w:topLinePunct w:val="0"/>
        <w:autoSpaceDE/>
        <w:autoSpaceDN/>
        <w:bidi w:val="0"/>
        <w:adjustRightInd/>
        <w:snapToGrid/>
        <w:spacing w:line="500" w:lineRule="exact"/>
        <w:ind w:left="420" w:right="0" w:rightChars="0" w:hanging="480" w:hangingChars="150"/>
        <w:jc w:val="center"/>
        <w:textAlignment w:val="auto"/>
        <w:outlineLvl w:val="9"/>
        <w:rPr>
          <w:rFonts w:hint="default" w:ascii="黑体" w:eastAsia="黑体"/>
          <w:color w:val="000000"/>
          <w:sz w:val="32"/>
          <w:szCs w:val="32"/>
          <w:lang w:val="en-US" w:eastAsia="zh-CN"/>
        </w:rPr>
      </w:pPr>
      <w:r>
        <w:rPr>
          <w:rFonts w:hint="eastAsia" w:ascii="黑体" w:eastAsia="黑体"/>
          <w:color w:val="000000"/>
          <w:sz w:val="32"/>
          <w:szCs w:val="32"/>
          <w:lang w:val="en-US" w:eastAsia="zh-CN"/>
        </w:rPr>
        <w:t>石灰石项目招标统一平台</w:t>
      </w:r>
    </w:p>
    <w:p>
      <w:pPr>
        <w:tabs>
          <w:tab w:val="left" w:pos="0"/>
        </w:tabs>
        <w:adjustRightInd w:val="0"/>
        <w:snapToGrid w:val="0"/>
        <w:spacing w:line="300" w:lineRule="auto"/>
        <w:rPr>
          <w:rFonts w:hint="eastAsia" w:ascii="宋体" w:hAnsi="宋体"/>
          <w:b/>
          <w:bCs/>
          <w:sz w:val="24"/>
          <w:highlight w:val="none"/>
          <w:lang w:val="en-US" w:eastAsia="zh-CN"/>
        </w:rPr>
      </w:pPr>
      <w:r>
        <w:rPr>
          <w:rFonts w:hint="eastAsia" w:ascii="宋体" w:hAnsi="宋体"/>
          <w:b/>
          <w:bCs/>
          <w:sz w:val="24"/>
          <w:highlight w:val="none"/>
          <w:lang w:val="en-US" w:eastAsia="zh-CN"/>
        </w:rPr>
        <w:t>1、成分要求：</w:t>
      </w:r>
    </w:p>
    <w:p>
      <w:pPr>
        <w:keepNext w:val="0"/>
        <w:keepLines w:val="0"/>
        <w:pageBreakBefore w:val="0"/>
        <w:widowControl w:val="0"/>
        <w:tabs>
          <w:tab w:val="left" w:pos="525"/>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CaO≥53%,超出不加价，52%≤CaO＜53%，CaO每降1%，每批每吨扣合同单价的</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%，51%≤ CaO＜52%，CaO每降1%每批每吨扣合同单价的</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%，以上扣款累加计算，如CaO低于51%，做退货处理，如无法退货，则每批每吨按半价结算（不考虑其他成分）。</w:t>
      </w:r>
    </w:p>
    <w:p>
      <w:pPr>
        <w:keepNext w:val="0"/>
        <w:keepLines w:val="0"/>
        <w:pageBreakBefore w:val="0"/>
        <w:widowControl w:val="0"/>
        <w:tabs>
          <w:tab w:val="left" w:pos="525"/>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 xml:space="preserve"> SiO2≤1.5%，1.5%＜SiO2≤2.5%，SiO2每升1%，每批每吨扣合同单价的4%，2.5%＜SiO2≤3.0%，SiO2每升1%，每批每吨扣合同单价的5%，以上扣款累加计算，SiO2＞3.0%，做退货处理，如无法退货，则每批每吨按半价结算（不考虑其他成分）。</w:t>
      </w:r>
    </w:p>
    <w:p>
      <w:pPr>
        <w:keepNext w:val="0"/>
        <w:keepLines w:val="0"/>
        <w:pageBreakBefore w:val="0"/>
        <w:widowControl w:val="0"/>
        <w:tabs>
          <w:tab w:val="left" w:pos="525"/>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3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MgO≤3.0%，MgO每升1%,每批每吨扣合同单价的2%，MgO＞3.5%，做退货处理，如无法退货，则每批每吨按半价结算（不考虑其他成分）。</w:t>
      </w:r>
    </w:p>
    <w:p>
      <w:pPr>
        <w:keepNext w:val="0"/>
        <w:keepLines w:val="0"/>
        <w:pageBreakBefore w:val="0"/>
        <w:widowControl w:val="0"/>
        <w:tabs>
          <w:tab w:val="left" w:pos="525"/>
        </w:tabs>
        <w:kinsoku/>
        <w:wordWrap/>
        <w:overflowPunct/>
        <w:topLinePunct w:val="0"/>
        <w:autoSpaceDE/>
        <w:autoSpaceDN/>
        <w:bidi w:val="0"/>
        <w:adjustRightInd w:val="0"/>
        <w:snapToGrid w:val="0"/>
        <w:spacing w:line="40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4 </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S≤0.08%  P≤0.01%,S 、P每升0.01%，每批每吨扣合同单价的2%。</w:t>
      </w:r>
    </w:p>
    <w:p>
      <w:pPr>
        <w:tabs>
          <w:tab w:val="left" w:pos="525"/>
        </w:tabs>
        <w:adjustRightInd w:val="0"/>
        <w:snapToGrid w:val="0"/>
        <w:spacing w:line="300" w:lineRule="auto"/>
        <w:rPr>
          <w:rFonts w:hint="default" w:ascii="宋体" w:hAnsi="宋体" w:eastAsia="宋体"/>
          <w:b/>
          <w:bCs/>
          <w:sz w:val="24"/>
          <w:highlight w:val="none"/>
          <w:lang w:val="en-US" w:eastAsia="zh-CN"/>
        </w:rPr>
      </w:pPr>
      <w:r>
        <w:rPr>
          <w:rFonts w:hint="eastAsia" w:ascii="宋体" w:hAnsi="宋体"/>
          <w:b/>
          <w:bCs/>
          <w:sz w:val="24"/>
          <w:highlight w:val="none"/>
          <w:lang w:val="en-US" w:eastAsia="zh-CN"/>
        </w:rPr>
        <w:t>2</w:t>
      </w:r>
      <w:r>
        <w:rPr>
          <w:rFonts w:hint="eastAsia" w:ascii="宋体" w:hAnsi="宋体"/>
          <w:b/>
          <w:bCs/>
          <w:sz w:val="24"/>
          <w:highlight w:val="none"/>
        </w:rPr>
        <w:t xml:space="preserve"> </w:t>
      </w:r>
      <w:r>
        <w:rPr>
          <w:rFonts w:hint="eastAsia" w:ascii="宋体" w:hAnsi="宋体"/>
          <w:b/>
          <w:bCs/>
          <w:sz w:val="24"/>
          <w:highlight w:val="none"/>
          <w:lang w:eastAsia="zh-CN"/>
        </w:rPr>
        <w:t>、</w:t>
      </w:r>
      <w:r>
        <w:rPr>
          <w:rFonts w:hint="eastAsia" w:ascii="宋体" w:hAnsi="宋体"/>
          <w:b/>
          <w:bCs/>
          <w:sz w:val="24"/>
          <w:highlight w:val="none"/>
        </w:rPr>
        <w:t>粒度要求</w:t>
      </w:r>
      <w:r>
        <w:rPr>
          <w:rFonts w:hint="eastAsia" w:ascii="宋体" w:hAnsi="宋体"/>
          <w:b/>
          <w:bCs/>
          <w:sz w:val="24"/>
          <w:highlight w:val="none"/>
          <w:lang w:val="en-US" w:eastAsia="zh-CN"/>
        </w:rPr>
        <w:t xml:space="preserve">                   </w:t>
      </w:r>
    </w:p>
    <w:p>
      <w:pPr>
        <w:tabs>
          <w:tab w:val="left" w:pos="525"/>
        </w:tabs>
        <w:adjustRightInd w:val="0"/>
        <w:snapToGrid w:val="0"/>
        <w:spacing w:line="30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粒度要求：15mm-40mm，避免带尖锐棱角及薄片，根据公司监控部每批检验结果，①石灰石粒度＜15mm的部分允许5%；②粒度＞40mm≤15%，＞15%部分</w:t>
      </w:r>
      <w:r>
        <w:rPr>
          <w:rFonts w:hint="eastAsia" w:ascii="宋体" w:hAnsi="宋体" w:cs="宋体"/>
          <w:sz w:val="24"/>
          <w:szCs w:val="24"/>
          <w:highlight w:val="none"/>
          <w:lang w:val="en-US" w:eastAsia="zh-CN"/>
        </w:rPr>
        <w:t>扣除吨位</w:t>
      </w:r>
      <w:r>
        <w:rPr>
          <w:rFonts w:hint="eastAsia" w:ascii="宋体" w:hAnsi="宋体" w:eastAsia="宋体" w:cs="宋体"/>
          <w:sz w:val="24"/>
          <w:szCs w:val="24"/>
          <w:highlight w:val="none"/>
          <w:lang w:val="en-US" w:eastAsia="zh-CN"/>
        </w:rPr>
        <w:t>；③检验筛分使用15mm和40mm方孔筛进行检验。④超出部分如超1%，扣该批次1%进行扣款，累计直至退货。⑤石灰石粒度＜15mm的部分超过25%做退货处理；粒度＞40mm超过30%做退货处理。</w:t>
      </w:r>
    </w:p>
    <w:p>
      <w:pPr>
        <w:tabs>
          <w:tab w:val="left" w:pos="525"/>
        </w:tabs>
        <w:adjustRightInd w:val="0"/>
        <w:snapToGrid w:val="0"/>
        <w:spacing w:line="300" w:lineRule="auto"/>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、以上扣款累加计算。</w:t>
      </w:r>
    </w:p>
    <w:p>
      <w:pPr>
        <w:tabs>
          <w:tab w:val="left" w:pos="525"/>
        </w:tabs>
        <w:adjustRightInd w:val="0"/>
        <w:snapToGrid w:val="0"/>
        <w:spacing w:line="300" w:lineRule="auto"/>
        <w:rPr>
          <w:rFonts w:hint="eastAsia" w:ascii="宋体" w:hAnsi="宋体" w:cs="宋体"/>
          <w:sz w:val="24"/>
          <w:szCs w:val="24"/>
          <w:highlight w:val="none"/>
          <w:lang w:val="en-US" w:eastAsia="zh-CN"/>
        </w:rPr>
      </w:pPr>
      <w:r>
        <w:rPr>
          <w:rFonts w:hint="eastAsia" w:ascii="宋体" w:hAnsi="宋体"/>
          <w:sz w:val="24"/>
          <w:szCs w:val="24"/>
          <w:lang w:val="en-US" w:eastAsia="zh-CN"/>
        </w:rPr>
        <w:t>4、</w:t>
      </w:r>
      <w:r>
        <w:rPr>
          <w:rFonts w:hint="eastAsia" w:ascii="宋体" w:hAnsi="宋体" w:eastAsia="宋体" w:cs="宋体"/>
          <w:sz w:val="24"/>
          <w:szCs w:val="24"/>
          <w:highlight w:val="none"/>
          <w:lang w:val="en-US" w:eastAsia="zh-CN"/>
        </w:rPr>
        <w:t>本次招标</w:t>
      </w:r>
      <w:r>
        <w:rPr>
          <w:rFonts w:hint="eastAsia" w:ascii="宋体" w:hAnsi="宋体" w:cs="宋体"/>
          <w:sz w:val="24"/>
          <w:szCs w:val="24"/>
          <w:highlight w:val="none"/>
          <w:lang w:val="en-US" w:eastAsia="zh-CN"/>
        </w:rPr>
        <w:t>数量为</w:t>
      </w:r>
      <w:r>
        <w:rPr>
          <w:rFonts w:hint="eastAsia" w:ascii="宋体" w:hAnsi="宋体" w:cs="宋体"/>
          <w:color w:val="auto"/>
          <w:sz w:val="24"/>
          <w:szCs w:val="24"/>
          <w:highlight w:val="none"/>
          <w:lang w:val="en-US" w:eastAsia="zh-CN"/>
        </w:rPr>
        <w:t>10万吨</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供货</w:t>
      </w:r>
      <w:r>
        <w:rPr>
          <w:rFonts w:hint="eastAsia" w:ascii="宋体" w:hAnsi="宋体" w:cs="宋体"/>
          <w:sz w:val="24"/>
          <w:szCs w:val="24"/>
          <w:highlight w:val="none"/>
          <w:lang w:val="en-US" w:eastAsia="zh-CN"/>
        </w:rPr>
        <w:t>期限</w:t>
      </w:r>
      <w:r>
        <w:rPr>
          <w:rFonts w:hint="eastAsia" w:ascii="宋体" w:hAnsi="宋体" w:eastAsia="宋体" w:cs="宋体"/>
          <w:sz w:val="24"/>
          <w:szCs w:val="24"/>
          <w:highlight w:val="none"/>
          <w:lang w:val="en-US" w:eastAsia="zh-CN"/>
        </w:rPr>
        <w:t>（2021年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11</w:t>
      </w:r>
      <w:r>
        <w:rPr>
          <w:rFonts w:hint="eastAsia" w:ascii="宋体" w:hAnsi="宋体" w:eastAsia="宋体" w:cs="宋体"/>
          <w:sz w:val="24"/>
          <w:szCs w:val="24"/>
          <w:highlight w:val="none"/>
          <w:lang w:val="en-US" w:eastAsia="zh-CN"/>
        </w:rPr>
        <w:t>月），招标要求每家单位每月供应量不得低于</w:t>
      </w:r>
      <w:r>
        <w:rPr>
          <w:rFonts w:hint="eastAsia" w:ascii="宋体" w:hAnsi="宋体" w:cs="宋体"/>
          <w:sz w:val="24"/>
          <w:szCs w:val="24"/>
          <w:highlight w:val="none"/>
          <w:lang w:val="en-US" w:eastAsia="zh-CN"/>
        </w:rPr>
        <w:t>8000</w:t>
      </w:r>
      <w:r>
        <w:rPr>
          <w:rFonts w:hint="eastAsia" w:ascii="宋体" w:hAnsi="宋体" w:eastAsia="宋体" w:cs="宋体"/>
          <w:sz w:val="24"/>
          <w:szCs w:val="24"/>
          <w:highlight w:val="none"/>
          <w:lang w:val="en-US" w:eastAsia="zh-CN"/>
        </w:rPr>
        <w:t>吨</w:t>
      </w:r>
      <w:r>
        <w:rPr>
          <w:rFonts w:hint="eastAsia" w:ascii="宋体" w:hAnsi="宋体" w:cs="宋体"/>
          <w:sz w:val="24"/>
          <w:szCs w:val="24"/>
          <w:highlight w:val="none"/>
          <w:lang w:val="en-US" w:eastAsia="zh-CN"/>
        </w:rPr>
        <w:t>且不得高于15000吨。</w:t>
      </w:r>
    </w:p>
    <w:p>
      <w:pPr>
        <w:tabs>
          <w:tab w:val="left" w:pos="525"/>
        </w:tabs>
        <w:adjustRightInd w:val="0"/>
        <w:snapToGrid w:val="0"/>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若招标单位为贸易商（非矿山企业），必须持有指定发货矿山的授权函，而且一家矿山只能授权一个贸易商，一个贸易商可以有1-3家矿山授权，但需质量满足需方要求，并在发货前告知矿点，不能出现两家及以上贸易商在同一家矿山发货的情况，贸易商出具承诺书承诺中标后只能在指定矿山发货，如需方发现贸易商未在指定矿山发货的，对此批货物做拒收处理。如有授权矿山因不可抗拒因素不能发货的需向需方报告，需方同意后才能从新矿山发货。</w:t>
      </w:r>
    </w:p>
    <w:p>
      <w:pPr>
        <w:tabs>
          <w:tab w:val="left" w:pos="525"/>
        </w:tabs>
        <w:adjustRightInd w:val="0"/>
        <w:snapToGrid w:val="0"/>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合同履约保证金20元/吨（按月度合同量收取，且需在确定中标后，合同签订前足额缴纳），合同完成数量不得低于当月合同量的90%（以需方过磅数量为准），如发货量未达到当月合同量90%，则扣除合同履约保证金，从合同履约保证金或者结算货款中扣除，月度结算。</w:t>
      </w:r>
    </w:p>
    <w:p>
      <w:pPr>
        <w:tabs>
          <w:tab w:val="left" w:pos="525"/>
        </w:tabs>
        <w:adjustRightInd w:val="0"/>
        <w:snapToGrid w:val="0"/>
        <w:spacing w:line="30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lang w:eastAsia="zh-CN"/>
        </w:rPr>
        <w:t>运输方式、费用负担：</w:t>
      </w:r>
    </w:p>
    <w:p>
      <w:pPr>
        <w:tabs>
          <w:tab w:val="left" w:pos="525"/>
        </w:tabs>
        <w:adjustRightInd w:val="0"/>
        <w:snapToGrid w:val="0"/>
        <w:spacing w:line="300" w:lineRule="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船运石灰石到港交货，码头卸船费用加上车辆短到费用由我司承担，费用为9.66元/吨，因此设定船运到港交货与汽运到厂交货价差为9元/吨。</w:t>
      </w:r>
    </w:p>
    <w:p>
      <w:pPr>
        <w:numPr>
          <w:ilvl w:val="0"/>
          <w:numId w:val="8"/>
        </w:numPr>
        <w:tabs>
          <w:tab w:val="left" w:pos="525"/>
        </w:tabs>
        <w:adjustRightInd w:val="0"/>
        <w:snapToGrid w:val="0"/>
        <w:spacing w:line="30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结算方式、期限：</w:t>
      </w:r>
      <w:r>
        <w:rPr>
          <w:rFonts w:hint="eastAsia" w:ascii="宋体" w:hAnsi="宋体" w:eastAsia="宋体" w:cs="宋体"/>
          <w:sz w:val="24"/>
          <w:szCs w:val="24"/>
          <w:highlight w:val="none"/>
          <w:lang w:val="en-US" w:eastAsia="zh-CN"/>
        </w:rPr>
        <w:t>以日进料量为结算单位，货物到厂验收合格后，供方凭需方计量报表计量数据、化验单开具增值税专用发票向需方办理一票结算，经核实无误后，供方发票在需方入账后， 需方一个月以内以现汇形式结货款。合同付款时按照账面金额的80%进行付款，在合同执行期间，账面余额不得低于履约保证金，若一定时间内（2个月以上）未再续合同，将给予清账处理。</w:t>
      </w:r>
    </w:p>
    <w:p>
      <w:pPr>
        <w:numPr>
          <w:ilvl w:val="0"/>
          <w:numId w:val="8"/>
        </w:numPr>
        <w:tabs>
          <w:tab w:val="left" w:pos="525"/>
        </w:tabs>
        <w:adjustRightInd w:val="0"/>
        <w:snapToGrid w:val="0"/>
        <w:spacing w:line="300" w:lineRule="auto"/>
        <w:rPr>
          <w:rFonts w:hint="eastAsia" w:ascii="宋体" w:hAnsi="宋体" w:eastAsia="宋体" w:cs="宋体"/>
          <w:sz w:val="24"/>
          <w:szCs w:val="24"/>
          <w:highlight w:val="none"/>
          <w:lang w:val="en-US" w:eastAsia="zh-CN"/>
        </w:rPr>
      </w:pPr>
      <w:bookmarkStart w:id="0" w:name="_GoBack"/>
      <w:bookmarkEnd w:id="0"/>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7" o:spt="75" type="#_x0000_t75" style="position:absolute;left:0pt;margin-left:20.05pt;margin-top:-1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color w:val="FF0000"/>
          <w:sz w:val="28"/>
          <w:szCs w:val="28"/>
          <w:u w:val="single"/>
          <w:lang w:val="en-US" w:eastAsia="zh-CN"/>
        </w:rPr>
        <w:t>石灰石</w:t>
      </w:r>
      <w:r>
        <w:rPr>
          <w:rFonts w:hint="eastAsia"/>
          <w:sz w:val="28"/>
          <w:szCs w:val="28"/>
          <w:u w:val="single"/>
          <w:lang w:val="en-US" w:eastAsia="zh-CN"/>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pStyle w:val="2"/>
        <w:widowControl/>
        <w:rPr>
          <w:b w:val="0"/>
          <w:bCs/>
          <w:sz w:val="28"/>
          <w:szCs w:val="28"/>
        </w:rPr>
      </w:pPr>
      <w:r>
        <w:rPr>
          <w:b w:val="0"/>
          <w:bCs/>
          <w:sz w:val="28"/>
          <w:szCs w:val="28"/>
        </w:rPr>
        <w:t>附件5</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9017" w:type="dxa"/>
        <w:tblInd w:w="0" w:type="dxa"/>
        <w:tblLayout w:type="fixed"/>
        <w:tblCellMar>
          <w:top w:w="0" w:type="dxa"/>
          <w:left w:w="0" w:type="dxa"/>
          <w:bottom w:w="0" w:type="dxa"/>
          <w:right w:w="0" w:type="dxa"/>
        </w:tblCellMar>
      </w:tblPr>
      <w:tblGrid>
        <w:gridCol w:w="1366"/>
        <w:gridCol w:w="4413"/>
        <w:gridCol w:w="1435"/>
        <w:gridCol w:w="1803"/>
      </w:tblGrid>
      <w:tr>
        <w:tblPrEx>
          <w:tblCellMar>
            <w:top w:w="0" w:type="dxa"/>
            <w:left w:w="0" w:type="dxa"/>
            <w:bottom w:w="0" w:type="dxa"/>
            <w:right w:w="0" w:type="dxa"/>
          </w:tblCellMar>
        </w:tblPrEx>
        <w:trPr>
          <w:trHeight w:val="1223"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物资名称</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bidi="ar"/>
              </w:rPr>
              <w:t>报价</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供应量</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w:t>
            </w:r>
            <w:r>
              <w:rPr>
                <w:rFonts w:hint="eastAsia" w:ascii="宋体" w:hAnsi="宋体" w:cs="宋体"/>
                <w:color w:val="000000"/>
                <w:kern w:val="0"/>
                <w:sz w:val="24"/>
                <w:lang w:eastAsia="zh-CN" w:bidi="ar"/>
              </w:rPr>
              <w:t>吨</w:t>
            </w:r>
            <w:r>
              <w:rPr>
                <w:rFonts w:hint="eastAsia" w:ascii="宋体" w:hAnsi="宋体" w:cs="宋体"/>
                <w:color w:val="000000"/>
                <w:kern w:val="0"/>
                <w:sz w:val="24"/>
                <w:lang w:val="en-US" w:eastAsia="zh-CN" w:bidi="ar"/>
              </w:rPr>
              <w:t>/</w:t>
            </w: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w:t>
            </w:r>
          </w:p>
        </w:tc>
        <w:tc>
          <w:tcPr>
            <w:tcW w:w="18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 xml:space="preserve">备注    </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 xml:space="preserve">  </w:t>
            </w:r>
          </w:p>
        </w:tc>
      </w:tr>
      <w:tr>
        <w:tblPrEx>
          <w:tblCellMar>
            <w:top w:w="0" w:type="dxa"/>
            <w:left w:w="0" w:type="dxa"/>
            <w:bottom w:w="0" w:type="dxa"/>
            <w:right w:w="0" w:type="dxa"/>
          </w:tblCellMar>
        </w:tblPrEx>
        <w:trPr>
          <w:trHeight w:val="1461" w:hRule="atLeast"/>
        </w:trPr>
        <w:tc>
          <w:tcPr>
            <w:tcW w:w="1366"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石灰石</w:t>
            </w: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b/>
                <w:bCs/>
                <w:color w:val="000000"/>
                <w:kern w:val="0"/>
                <w:sz w:val="24"/>
                <w:lang w:bidi="ar"/>
              </w:rPr>
            </w:pPr>
            <w:r>
              <w:rPr>
                <w:rFonts w:hint="eastAsia" w:ascii="宋体" w:hAnsi="宋体" w:cs="宋体"/>
                <w:color w:val="000000"/>
                <w:kern w:val="0"/>
                <w:sz w:val="24"/>
                <w:lang w:bidi="ar"/>
              </w:rPr>
              <w:t>小写：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val="en-US" w:eastAsia="zh-CN" w:bidi="ar"/>
              </w:rPr>
              <w:t>含税</w:t>
            </w:r>
            <w:r>
              <w:rPr>
                <w:rFonts w:hint="eastAsia" w:ascii="宋体" w:hAnsi="宋体" w:cs="宋体"/>
                <w:color w:val="000000"/>
                <w:kern w:val="0"/>
                <w:sz w:val="24"/>
                <w:lang w:bidi="ar"/>
              </w:rPr>
              <w:t>到港价</w:t>
            </w:r>
          </w:p>
        </w:tc>
      </w:tr>
      <w:tr>
        <w:tblPrEx>
          <w:tblCellMar>
            <w:top w:w="0" w:type="dxa"/>
            <w:left w:w="0" w:type="dxa"/>
            <w:bottom w:w="0" w:type="dxa"/>
            <w:right w:w="0" w:type="dxa"/>
          </w:tblCellMar>
        </w:tblPrEx>
        <w:trPr>
          <w:trHeight w:val="1442" w:hRule="atLeast"/>
        </w:trPr>
        <w:tc>
          <w:tcPr>
            <w:tcW w:w="1366"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c>
          <w:tcPr>
            <w:tcW w:w="44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大写：</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eastAsia="zh-CN" w:bidi="ar"/>
              </w:rPr>
              <w:t>（元</w:t>
            </w:r>
            <w:r>
              <w:rPr>
                <w:rFonts w:hint="eastAsia" w:ascii="宋体" w:hAnsi="宋体" w:cs="宋体"/>
                <w:color w:val="000000"/>
                <w:kern w:val="0"/>
                <w:sz w:val="24"/>
                <w:lang w:val="en-US" w:eastAsia="zh-CN" w:bidi="ar"/>
              </w:rPr>
              <w:t>/吨</w:t>
            </w:r>
            <w:r>
              <w:rPr>
                <w:rFonts w:hint="eastAsia" w:ascii="宋体" w:hAnsi="宋体" w:cs="宋体"/>
                <w:color w:val="000000"/>
                <w:kern w:val="0"/>
                <w:sz w:val="24"/>
                <w:lang w:eastAsia="zh-CN" w:bidi="ar"/>
              </w:rPr>
              <w:t>）</w:t>
            </w:r>
          </w:p>
        </w:tc>
        <w:tc>
          <w:tcPr>
            <w:tcW w:w="1435"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646" w:hRule="atLeast"/>
        </w:trPr>
        <w:tc>
          <w:tcPr>
            <w:tcW w:w="13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投标单位名称：</w:t>
            </w:r>
          </w:p>
        </w:tc>
        <w:tc>
          <w:tcPr>
            <w:tcW w:w="58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eastAsia="zh-CN" w:bidi="ar"/>
              </w:rPr>
              <w:t>报价</w:t>
            </w:r>
            <w:r>
              <w:rPr>
                <w:rFonts w:hint="eastAsia" w:ascii="宋体" w:hAnsi="宋体" w:cs="宋体"/>
                <w:color w:val="000000"/>
                <w:kern w:val="0"/>
                <w:sz w:val="24"/>
                <w:lang w:bidi="ar"/>
              </w:rPr>
              <w:t>含税13%，含运费，一票</w:t>
            </w:r>
            <w:r>
              <w:rPr>
                <w:rFonts w:hint="eastAsia" w:ascii="宋体" w:hAnsi="宋体" w:cs="宋体"/>
                <w:color w:val="000000"/>
                <w:kern w:val="0"/>
                <w:sz w:val="24"/>
                <w:lang w:eastAsia="zh-CN" w:bidi="ar"/>
              </w:rPr>
              <w:t>制</w:t>
            </w:r>
            <w:r>
              <w:rPr>
                <w:rFonts w:hint="eastAsia" w:ascii="宋体" w:hAnsi="宋体" w:cs="宋体"/>
                <w:color w:val="000000"/>
                <w:kern w:val="0"/>
                <w:sz w:val="24"/>
                <w:lang w:bidi="ar"/>
              </w:rPr>
              <w:t>结算</w:t>
            </w:r>
          </w:p>
        </w:tc>
      </w:tr>
      <w:tr>
        <w:tblPrEx>
          <w:tblCellMar>
            <w:top w:w="0" w:type="dxa"/>
            <w:left w:w="0" w:type="dxa"/>
            <w:bottom w:w="0" w:type="dxa"/>
            <w:right w:w="0" w:type="dxa"/>
          </w:tblCellMar>
        </w:tblPrEx>
        <w:trPr>
          <w:trHeight w:val="1641" w:hRule="atLeast"/>
        </w:trPr>
        <w:tc>
          <w:tcPr>
            <w:tcW w:w="136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投标单位公章及签字：</w:t>
            </w:r>
          </w:p>
        </w:tc>
        <w:tc>
          <w:tcPr>
            <w:tcW w:w="5848" w:type="dxa"/>
            <w:gridSpan w:val="2"/>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cs="宋体"/>
                <w:color w:val="000000"/>
                <w:kern w:val="0"/>
                <w:sz w:val="24"/>
                <w:lang w:bidi="ar"/>
              </w:rPr>
            </w:pPr>
          </w:p>
        </w:tc>
        <w:tc>
          <w:tcPr>
            <w:tcW w:w="1803"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p>
        </w:tc>
      </w:tr>
      <w:tr>
        <w:tblPrEx>
          <w:tblCellMar>
            <w:top w:w="0" w:type="dxa"/>
            <w:left w:w="0" w:type="dxa"/>
            <w:bottom w:w="0" w:type="dxa"/>
            <w:right w:w="0" w:type="dxa"/>
          </w:tblCellMar>
        </w:tblPrEx>
        <w:trPr>
          <w:trHeight w:val="1082" w:hRule="atLeast"/>
        </w:trPr>
        <w:tc>
          <w:tcPr>
            <w:tcW w:w="136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日期：</w:t>
            </w:r>
          </w:p>
        </w:tc>
        <w:tc>
          <w:tcPr>
            <w:tcW w:w="5848"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cs="宋体"/>
                <w:color w:val="000000"/>
                <w:sz w:val="24"/>
              </w:rPr>
            </w:pPr>
          </w:p>
        </w:tc>
        <w:tc>
          <w:tcPr>
            <w:tcW w:w="1803"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18"/>
                <w:szCs w:val="18"/>
                <w:lang w:bidi="ar"/>
              </w:rPr>
            </w:pPr>
          </w:p>
        </w:tc>
      </w:tr>
    </w:tbl>
    <w:p>
      <w:pPr>
        <w:spacing w:line="480" w:lineRule="auto"/>
        <w:rPr>
          <w:rFonts w:hint="eastAsia"/>
          <w:color w:val="000000"/>
          <w:sz w:val="24"/>
          <w:szCs w:val="24"/>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4E913"/>
    <w:multiLevelType w:val="singleLevel"/>
    <w:tmpl w:val="D094E913"/>
    <w:lvl w:ilvl="0" w:tentative="0">
      <w:start w:val="8"/>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7BA48CA"/>
    <w:rsid w:val="0831406E"/>
    <w:rsid w:val="085B58B3"/>
    <w:rsid w:val="08A96692"/>
    <w:rsid w:val="0BC23640"/>
    <w:rsid w:val="0BFF25BD"/>
    <w:rsid w:val="0CBC295F"/>
    <w:rsid w:val="0DF07D84"/>
    <w:rsid w:val="0E497616"/>
    <w:rsid w:val="0E842CB1"/>
    <w:rsid w:val="0ECA71E3"/>
    <w:rsid w:val="0F0803D8"/>
    <w:rsid w:val="0F347211"/>
    <w:rsid w:val="10CA64E1"/>
    <w:rsid w:val="110928F7"/>
    <w:rsid w:val="11654D47"/>
    <w:rsid w:val="11E432CA"/>
    <w:rsid w:val="13184FA4"/>
    <w:rsid w:val="135C10D5"/>
    <w:rsid w:val="139F3DA1"/>
    <w:rsid w:val="13D576D7"/>
    <w:rsid w:val="159110DB"/>
    <w:rsid w:val="16541AFE"/>
    <w:rsid w:val="1694444C"/>
    <w:rsid w:val="17F97F08"/>
    <w:rsid w:val="18EB01A1"/>
    <w:rsid w:val="18ED4DB4"/>
    <w:rsid w:val="19B16948"/>
    <w:rsid w:val="1A8A6D05"/>
    <w:rsid w:val="1CA123BE"/>
    <w:rsid w:val="1CCB1E53"/>
    <w:rsid w:val="1D2E11E1"/>
    <w:rsid w:val="1E937D02"/>
    <w:rsid w:val="1F4242F7"/>
    <w:rsid w:val="1F6F49E4"/>
    <w:rsid w:val="1F802445"/>
    <w:rsid w:val="21133B37"/>
    <w:rsid w:val="21534F77"/>
    <w:rsid w:val="21A2160C"/>
    <w:rsid w:val="22B96773"/>
    <w:rsid w:val="22E00851"/>
    <w:rsid w:val="23D22DCD"/>
    <w:rsid w:val="24545FD8"/>
    <w:rsid w:val="25B129B0"/>
    <w:rsid w:val="25ED2095"/>
    <w:rsid w:val="26370085"/>
    <w:rsid w:val="26F50CB1"/>
    <w:rsid w:val="278055FF"/>
    <w:rsid w:val="27AF1CA8"/>
    <w:rsid w:val="288D3DC5"/>
    <w:rsid w:val="28E2171B"/>
    <w:rsid w:val="29401D6D"/>
    <w:rsid w:val="2BF40243"/>
    <w:rsid w:val="2C204052"/>
    <w:rsid w:val="2C4E01C4"/>
    <w:rsid w:val="2CF31D5E"/>
    <w:rsid w:val="2E3D1B0F"/>
    <w:rsid w:val="3036622A"/>
    <w:rsid w:val="30CA3841"/>
    <w:rsid w:val="3130279D"/>
    <w:rsid w:val="31BC2D3C"/>
    <w:rsid w:val="328B0695"/>
    <w:rsid w:val="32D50BE8"/>
    <w:rsid w:val="35212328"/>
    <w:rsid w:val="36A65EF8"/>
    <w:rsid w:val="373827F1"/>
    <w:rsid w:val="379345D1"/>
    <w:rsid w:val="37974BFF"/>
    <w:rsid w:val="37BE23C2"/>
    <w:rsid w:val="387F2F2C"/>
    <w:rsid w:val="38D76DF2"/>
    <w:rsid w:val="39AC08AE"/>
    <w:rsid w:val="3A3F65BD"/>
    <w:rsid w:val="3A773720"/>
    <w:rsid w:val="3C456A69"/>
    <w:rsid w:val="3C487023"/>
    <w:rsid w:val="3C8426AC"/>
    <w:rsid w:val="3C887586"/>
    <w:rsid w:val="3D5A40AB"/>
    <w:rsid w:val="3DB441B2"/>
    <w:rsid w:val="3E371640"/>
    <w:rsid w:val="3EB93F1F"/>
    <w:rsid w:val="3F0B65A3"/>
    <w:rsid w:val="41394D83"/>
    <w:rsid w:val="414F586B"/>
    <w:rsid w:val="41A706B0"/>
    <w:rsid w:val="422E1FDF"/>
    <w:rsid w:val="423C71D1"/>
    <w:rsid w:val="426213B7"/>
    <w:rsid w:val="42CE1EFE"/>
    <w:rsid w:val="4391571D"/>
    <w:rsid w:val="44D9695E"/>
    <w:rsid w:val="44F06573"/>
    <w:rsid w:val="4500284B"/>
    <w:rsid w:val="45407B03"/>
    <w:rsid w:val="45C004AA"/>
    <w:rsid w:val="47AD4330"/>
    <w:rsid w:val="49280B38"/>
    <w:rsid w:val="4B635392"/>
    <w:rsid w:val="4BA21255"/>
    <w:rsid w:val="4D536362"/>
    <w:rsid w:val="4DBC5103"/>
    <w:rsid w:val="4DC66F68"/>
    <w:rsid w:val="4E0A5FD9"/>
    <w:rsid w:val="4FEF61FE"/>
    <w:rsid w:val="514F2EE0"/>
    <w:rsid w:val="51A458AF"/>
    <w:rsid w:val="51B813A0"/>
    <w:rsid w:val="527E5427"/>
    <w:rsid w:val="528B2AF1"/>
    <w:rsid w:val="52EE0AE7"/>
    <w:rsid w:val="54122B63"/>
    <w:rsid w:val="554C057B"/>
    <w:rsid w:val="566E6D8E"/>
    <w:rsid w:val="56FF0A43"/>
    <w:rsid w:val="57D705F2"/>
    <w:rsid w:val="584E3243"/>
    <w:rsid w:val="58CF0A6A"/>
    <w:rsid w:val="5AAF6E02"/>
    <w:rsid w:val="5AEA3AD0"/>
    <w:rsid w:val="5B1D2529"/>
    <w:rsid w:val="5B35349E"/>
    <w:rsid w:val="5BA959B9"/>
    <w:rsid w:val="5C8340C5"/>
    <w:rsid w:val="5D043DD5"/>
    <w:rsid w:val="5D173705"/>
    <w:rsid w:val="5D1B4B8A"/>
    <w:rsid w:val="5DA16C06"/>
    <w:rsid w:val="5DCF78F9"/>
    <w:rsid w:val="5E611270"/>
    <w:rsid w:val="5EB2026E"/>
    <w:rsid w:val="61033D16"/>
    <w:rsid w:val="625B24D7"/>
    <w:rsid w:val="62CD795C"/>
    <w:rsid w:val="6334488B"/>
    <w:rsid w:val="663A330E"/>
    <w:rsid w:val="66EA0C9A"/>
    <w:rsid w:val="66FB3BC1"/>
    <w:rsid w:val="678F7868"/>
    <w:rsid w:val="67B12071"/>
    <w:rsid w:val="68985C4A"/>
    <w:rsid w:val="695E0A51"/>
    <w:rsid w:val="6AE713EB"/>
    <w:rsid w:val="6C762C90"/>
    <w:rsid w:val="6C7B13C4"/>
    <w:rsid w:val="6CA73029"/>
    <w:rsid w:val="6CF949ED"/>
    <w:rsid w:val="6D3A2C2D"/>
    <w:rsid w:val="6E550ED4"/>
    <w:rsid w:val="6ED71557"/>
    <w:rsid w:val="70203B3D"/>
    <w:rsid w:val="706A3FF6"/>
    <w:rsid w:val="70D03715"/>
    <w:rsid w:val="70E0155E"/>
    <w:rsid w:val="711219DD"/>
    <w:rsid w:val="71F96DCA"/>
    <w:rsid w:val="72107C5B"/>
    <w:rsid w:val="72D332E3"/>
    <w:rsid w:val="732D2693"/>
    <w:rsid w:val="7357254E"/>
    <w:rsid w:val="73611393"/>
    <w:rsid w:val="739818B1"/>
    <w:rsid w:val="73D333D3"/>
    <w:rsid w:val="76206BC5"/>
    <w:rsid w:val="778A5616"/>
    <w:rsid w:val="77A234EB"/>
    <w:rsid w:val="77DA5055"/>
    <w:rsid w:val="780E1C86"/>
    <w:rsid w:val="7850695C"/>
    <w:rsid w:val="797A02ED"/>
    <w:rsid w:val="79B23223"/>
    <w:rsid w:val="79DE1204"/>
    <w:rsid w:val="7A2A69FD"/>
    <w:rsid w:val="7A6263B1"/>
    <w:rsid w:val="7ADF17B7"/>
    <w:rsid w:val="7B386B42"/>
    <w:rsid w:val="7B3C1A93"/>
    <w:rsid w:val="7B4E287B"/>
    <w:rsid w:val="7BBC102F"/>
    <w:rsid w:val="7BD509C2"/>
    <w:rsid w:val="7CCE15E8"/>
    <w:rsid w:val="7D2A47F3"/>
    <w:rsid w:val="7DC943B5"/>
    <w:rsid w:val="7E58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2021-09-18T02:57:15Z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9679FAE576A746EBA1A44DEFFCADD6A0</vt:lpwstr>
  </property>
</Properties>
</file>