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360" w:lineRule="auto"/>
        <w:jc w:val="center"/>
        <w:rPr>
          <w:rFonts w:hint="eastAsia" w:ascii="宋体" w:hAnsi="宋体"/>
          <w:b/>
          <w:bCs/>
          <w:color w:val="auto"/>
          <w:sz w:val="36"/>
          <w:szCs w:val="36"/>
        </w:rPr>
      </w:pPr>
      <w:r>
        <w:rPr>
          <w:rFonts w:hint="eastAsia" w:ascii="宋体" w:hAnsi="宋体"/>
          <w:b/>
          <w:bCs/>
          <w:color w:val="auto"/>
          <w:sz w:val="36"/>
          <w:szCs w:val="36"/>
          <w:lang w:val="en-US" w:eastAsia="zh-CN"/>
        </w:rPr>
        <w:t xml:space="preserve">     </w:t>
      </w:r>
      <w:r>
        <w:rPr>
          <w:rFonts w:hint="eastAsia" w:ascii="宋体" w:hAnsi="宋体"/>
          <w:b/>
          <w:bCs/>
          <w:color w:val="auto"/>
          <w:sz w:val="36"/>
          <w:szCs w:val="36"/>
        </w:rPr>
        <w:t>钢包技术协议</w:t>
      </w:r>
      <w:r>
        <w:rPr>
          <w:rFonts w:hint="eastAsia" w:ascii="宋体" w:hAnsi="宋体"/>
          <w:b/>
          <w:bCs/>
          <w:color w:val="auto"/>
          <w:sz w:val="36"/>
          <w:szCs w:val="36"/>
          <w:lang w:eastAsia="zh-CN"/>
        </w:rPr>
        <w:t>统一平台</w:t>
      </w:r>
    </w:p>
    <w:p>
      <w:pPr>
        <w:pStyle w:val="6"/>
        <w:spacing w:after="0" w:afterLines="0"/>
        <w:ind w:firstLine="420" w:firstLineChars="200"/>
        <w:rPr>
          <w:rFonts w:hint="eastAsia" w:ascii="宋体" w:hAnsi="宋体"/>
          <w:color w:val="auto"/>
          <w:sz w:val="21"/>
          <w:szCs w:val="21"/>
        </w:rPr>
      </w:pPr>
      <w:r>
        <w:rPr>
          <w:rFonts w:hint="eastAsia" w:ascii="宋体" w:hAnsi="宋体"/>
          <w:color w:val="auto"/>
          <w:sz w:val="21"/>
          <w:szCs w:val="21"/>
        </w:rPr>
        <w:t xml:space="preserve">芜湖新兴铸管有限责任公司（以下简称甲方）与 </w:t>
      </w:r>
      <w:r>
        <w:rPr>
          <w:rFonts w:hint="eastAsia" w:ascii="宋体" w:hAnsi="宋体"/>
          <w:color w:val="auto"/>
          <w:sz w:val="21"/>
          <w:szCs w:val="21"/>
          <w:lang w:val="en-US" w:eastAsia="zh-CN"/>
        </w:rPr>
        <w:t xml:space="preserve">                            </w:t>
      </w:r>
      <w:r>
        <w:rPr>
          <w:rFonts w:hint="eastAsia" w:ascii="宋体" w:hAnsi="宋体"/>
          <w:color w:val="auto"/>
          <w:sz w:val="21"/>
          <w:szCs w:val="21"/>
        </w:rPr>
        <w:t>（以下简称乙方）根据国家现行的法律、法规和政策之规定，就乙方承包甲方钢包等事宜，经过友好协商，达成如下协议。</w:t>
      </w:r>
    </w:p>
    <w:p>
      <w:pPr>
        <w:numPr>
          <w:ilvl w:val="0"/>
          <w:numId w:val="0"/>
        </w:numPr>
        <w:tabs>
          <w:tab w:val="left" w:pos="540"/>
        </w:tabs>
        <w:spacing w:line="312" w:lineRule="auto"/>
        <w:ind w:leftChars="0"/>
        <w:rPr>
          <w:rFonts w:hint="eastAsia" w:ascii="宋体" w:hAnsi="宋体"/>
          <w:b/>
          <w:bCs/>
          <w:color w:val="auto"/>
          <w:sz w:val="24"/>
        </w:rPr>
      </w:pPr>
      <w:r>
        <w:rPr>
          <w:rFonts w:hint="eastAsia" w:ascii="宋体" w:hAnsi="宋体"/>
          <w:b/>
          <w:bCs/>
          <w:color w:val="auto"/>
          <w:sz w:val="24"/>
          <w:lang w:eastAsia="zh-CN"/>
        </w:rPr>
        <w:t>一、承包范围</w:t>
      </w:r>
    </w:p>
    <w:p>
      <w:pPr>
        <w:pStyle w:val="6"/>
        <w:spacing w:after="0" w:afterLines="0"/>
        <w:ind w:firstLine="420" w:firstLineChars="200"/>
        <w:rPr>
          <w:rFonts w:hint="eastAsia" w:ascii="宋体" w:hAnsi="宋体"/>
          <w:color w:val="auto"/>
          <w:sz w:val="21"/>
          <w:szCs w:val="21"/>
          <w:highlight w:val="yellow"/>
          <w:lang w:eastAsia="zh-CN"/>
        </w:rPr>
      </w:pPr>
      <w:r>
        <w:rPr>
          <w:rFonts w:hint="eastAsia" w:ascii="宋体" w:hAnsi="宋体"/>
          <w:color w:val="auto"/>
          <w:sz w:val="21"/>
          <w:szCs w:val="21"/>
          <w:highlight w:val="yellow"/>
          <w:lang w:eastAsia="zh-CN"/>
        </w:rPr>
        <w:t>本次招标的范围为炼钢部</w:t>
      </w:r>
      <w:r>
        <w:rPr>
          <w:rFonts w:hint="eastAsia" w:ascii="宋体" w:hAnsi="宋体"/>
          <w:b/>
          <w:bCs/>
          <w:color w:val="0000FF"/>
          <w:sz w:val="21"/>
          <w:szCs w:val="21"/>
          <w:highlight w:val="yellow"/>
          <w:lang w:val="en-US" w:eastAsia="zh-CN"/>
        </w:rPr>
        <w:t>31个砖砌钢包</w:t>
      </w:r>
      <w:r>
        <w:rPr>
          <w:rFonts w:hint="eastAsia" w:ascii="宋体" w:hAnsi="宋体"/>
          <w:color w:val="auto"/>
          <w:sz w:val="21"/>
          <w:szCs w:val="21"/>
          <w:highlight w:val="yellow"/>
          <w:lang w:val="en-US" w:eastAsia="zh-CN"/>
        </w:rPr>
        <w:t>耐材、劳务整体承包。</w:t>
      </w:r>
      <w:r>
        <w:rPr>
          <w:rFonts w:hint="eastAsia" w:ascii="宋体" w:hAnsi="宋体"/>
          <w:color w:val="auto"/>
          <w:sz w:val="21"/>
          <w:szCs w:val="21"/>
          <w:highlight w:val="yellow"/>
          <w:lang w:eastAsia="zh-CN"/>
        </w:rPr>
        <w:t>技术协议具体要求如下：</w:t>
      </w:r>
    </w:p>
    <w:p>
      <w:pPr>
        <w:numPr>
          <w:ilvl w:val="0"/>
          <w:numId w:val="1"/>
        </w:numPr>
        <w:tabs>
          <w:tab w:val="left" w:pos="540"/>
          <w:tab w:val="clear" w:pos="425"/>
        </w:tabs>
        <w:spacing w:line="312" w:lineRule="auto"/>
        <w:ind w:left="540" w:hanging="540"/>
        <w:rPr>
          <w:rFonts w:hint="eastAsia" w:ascii="宋体" w:hAnsi="宋体" w:eastAsia="宋体" w:cs="宋体"/>
          <w:color w:val="auto"/>
          <w:sz w:val="21"/>
          <w:szCs w:val="21"/>
        </w:rPr>
      </w:pPr>
      <w:r>
        <w:rPr>
          <w:rFonts w:hint="eastAsia" w:ascii="宋体" w:hAnsi="宋体" w:eastAsia="宋体" w:cs="宋体"/>
          <w:color w:val="auto"/>
          <w:sz w:val="21"/>
          <w:szCs w:val="21"/>
        </w:rPr>
        <w:t>乙方负责提供钢包整体砌筑所有材料（镁碳砖、铝镁碳砖、镁质火泥、浇注料、永久层、刚玉浇注料、透气砖等），乙方对所提供的耐火材料质量负责；</w:t>
      </w:r>
    </w:p>
    <w:p>
      <w:pPr>
        <w:numPr>
          <w:ilvl w:val="0"/>
          <w:numId w:val="1"/>
        </w:numPr>
        <w:tabs>
          <w:tab w:val="left" w:pos="540"/>
          <w:tab w:val="clear" w:pos="425"/>
        </w:tabs>
        <w:spacing w:line="312" w:lineRule="auto"/>
        <w:ind w:left="540" w:hanging="540"/>
        <w:rPr>
          <w:rFonts w:hint="eastAsia" w:ascii="宋体" w:hAnsi="宋体" w:eastAsia="宋体" w:cs="宋体"/>
          <w:color w:val="auto"/>
          <w:sz w:val="21"/>
          <w:szCs w:val="21"/>
          <w:highlight w:val="yellow"/>
          <w:u w:val="none" w:color="auto"/>
        </w:rPr>
      </w:pPr>
      <w:r>
        <w:rPr>
          <w:rFonts w:hint="eastAsia" w:ascii="宋体" w:hAnsi="宋体" w:eastAsia="宋体" w:cs="宋体"/>
          <w:color w:val="auto"/>
          <w:sz w:val="21"/>
          <w:szCs w:val="21"/>
        </w:rPr>
        <w:t>乙方负责制定钢包砌筑方案，进行砌筑施工，保证砌筑质量满足工艺要求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1、</w:t>
      </w:r>
      <w:r>
        <w:rPr>
          <w:rFonts w:hint="eastAsia" w:ascii="宋体" w:hAnsi="宋体" w:eastAsia="宋体" w:cs="宋体"/>
          <w:color w:val="auto"/>
          <w:sz w:val="21"/>
          <w:szCs w:val="21"/>
          <w:highlight w:val="yellow"/>
          <w:lang w:eastAsia="zh-CN"/>
        </w:rPr>
        <w:t>新包钢水装入</w:t>
      </w:r>
      <w:r>
        <w:rPr>
          <w:rFonts w:hint="eastAsia" w:ascii="宋体" w:hAnsi="宋体" w:eastAsia="宋体" w:cs="宋体"/>
          <w:color w:val="auto"/>
          <w:sz w:val="21"/>
          <w:szCs w:val="21"/>
          <w:highlight w:val="yellow"/>
          <w:lang w:val="en-US" w:eastAsia="zh-CN"/>
        </w:rPr>
        <w:t>130吨且钢包净空≥400mm。2、一次包龄≥45次，小修后累计包龄≥85次</w:t>
      </w:r>
      <w:r>
        <w:rPr>
          <w:rFonts w:hint="eastAsia" w:ascii="宋体" w:hAnsi="宋体" w:eastAsia="宋体" w:cs="宋体"/>
          <w:color w:val="auto"/>
          <w:sz w:val="21"/>
          <w:szCs w:val="21"/>
          <w:highlight w:val="yellow"/>
          <w:lang w:eastAsia="zh-CN"/>
        </w:rPr>
        <w:t>）</w:t>
      </w:r>
    </w:p>
    <w:p>
      <w:pPr>
        <w:numPr>
          <w:ilvl w:val="0"/>
          <w:numId w:val="1"/>
        </w:numPr>
        <w:tabs>
          <w:tab w:val="left" w:pos="540"/>
          <w:tab w:val="clear" w:pos="425"/>
        </w:tabs>
        <w:spacing w:line="312" w:lineRule="auto"/>
        <w:ind w:left="540" w:hanging="540"/>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lang w:eastAsia="zh-CN"/>
        </w:rPr>
        <w:t>乙方负责绝热板的安装（材料由甲方提供）；</w:t>
      </w:r>
    </w:p>
    <w:p>
      <w:pPr>
        <w:numPr>
          <w:ilvl w:val="0"/>
          <w:numId w:val="1"/>
        </w:numPr>
        <w:tabs>
          <w:tab w:val="left" w:pos="540"/>
          <w:tab w:val="clear" w:pos="425"/>
        </w:tabs>
        <w:spacing w:line="312" w:lineRule="auto"/>
        <w:ind w:left="540" w:hanging="540"/>
        <w:rPr>
          <w:rFonts w:hint="eastAsia" w:ascii="宋体" w:hAnsi="宋体" w:eastAsia="宋体" w:cs="宋体"/>
          <w:color w:val="000000" w:themeColor="text1"/>
          <w:sz w:val="21"/>
          <w:szCs w:val="21"/>
          <w:u w:val="none" w:color="auto"/>
          <w14:textFill>
            <w14:solidFill>
              <w14:schemeClr w14:val="tx1"/>
            </w14:solidFill>
          </w14:textFill>
        </w:rPr>
      </w:pPr>
      <w:r>
        <w:rPr>
          <w:rFonts w:hint="eastAsia" w:ascii="宋体" w:hAnsi="宋体" w:eastAsia="宋体" w:cs="宋体"/>
          <w:color w:val="000000" w:themeColor="text1"/>
          <w:sz w:val="21"/>
          <w:szCs w:val="21"/>
          <w:u w:val="none" w:color="auto"/>
          <w:lang w:eastAsia="zh-CN"/>
          <w14:textFill>
            <w14:solidFill>
              <w14:schemeClr w14:val="tx1"/>
            </w14:solidFill>
          </w14:textFill>
        </w:rPr>
        <w:t>乙方负责钢包透气砖的吹扫，确保双透气砖的透气性良好，达到工艺要求</w:t>
      </w:r>
      <w:r>
        <w:rPr>
          <w:rFonts w:hint="eastAsia" w:ascii="宋体" w:hAnsi="宋体"/>
          <w:bCs/>
          <w:color w:val="000000" w:themeColor="text1"/>
          <w:sz w:val="21"/>
          <w:szCs w:val="21"/>
          <w:u w:val="none" w:color="auto"/>
          <w:lang w:eastAsia="zh-CN"/>
          <w14:textFill>
            <w14:solidFill>
              <w14:schemeClr w14:val="tx1"/>
            </w14:solidFill>
          </w14:textFill>
        </w:rPr>
        <w:t>；</w:t>
      </w:r>
      <w:bookmarkStart w:id="0" w:name="_GoBack"/>
    </w:p>
    <w:bookmarkEnd w:id="0"/>
    <w:p>
      <w:pPr>
        <w:numPr>
          <w:ilvl w:val="0"/>
          <w:numId w:val="1"/>
        </w:numPr>
        <w:tabs>
          <w:tab w:val="left" w:pos="540"/>
          <w:tab w:val="clear" w:pos="425"/>
        </w:tabs>
        <w:spacing w:line="312" w:lineRule="auto"/>
        <w:ind w:left="540" w:hanging="540"/>
        <w:rPr>
          <w:rFonts w:hint="eastAsia" w:ascii="宋体" w:hAnsi="宋体" w:eastAsia="宋体" w:cs="宋体"/>
          <w:b/>
          <w:bCs/>
          <w:color w:val="FF0000"/>
          <w:sz w:val="21"/>
          <w:szCs w:val="21"/>
          <w:u w:val="none" w:color="auto"/>
        </w:rPr>
      </w:pPr>
      <w:r>
        <w:rPr>
          <w:rFonts w:hint="eastAsia" w:ascii="宋体" w:hAnsi="宋体" w:eastAsia="宋体" w:cs="宋体"/>
          <w:b/>
          <w:bCs/>
          <w:color w:val="FF0000"/>
          <w:sz w:val="21"/>
          <w:szCs w:val="21"/>
          <w:u w:val="none" w:color="auto"/>
          <w:lang w:eastAsia="zh-CN"/>
        </w:rPr>
        <w:t>乙方安排专人对在线周转的钢包进行包况、透气砖检查，对低于安全要求的钢包安排下线处理。</w:t>
      </w:r>
    </w:p>
    <w:p>
      <w:pPr>
        <w:numPr>
          <w:ilvl w:val="0"/>
          <w:numId w:val="1"/>
        </w:numPr>
        <w:tabs>
          <w:tab w:val="left" w:pos="540"/>
          <w:tab w:val="clear" w:pos="425"/>
        </w:tabs>
        <w:spacing w:line="312" w:lineRule="auto"/>
        <w:ind w:left="540" w:hanging="540"/>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lang w:eastAsia="zh-CN"/>
        </w:rPr>
        <w:t>乙方负责砌筑好的钢包上线烘烤以及烘烤过程的监控和火焰调整工作，满足炼钢部安全及工艺使用要求。</w:t>
      </w:r>
    </w:p>
    <w:p>
      <w:pPr>
        <w:numPr>
          <w:ilvl w:val="0"/>
          <w:numId w:val="1"/>
        </w:numPr>
        <w:tabs>
          <w:tab w:val="left" w:pos="540"/>
          <w:tab w:val="clear" w:pos="425"/>
        </w:tabs>
        <w:spacing w:line="312" w:lineRule="auto"/>
        <w:ind w:left="540" w:hanging="540"/>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lang w:eastAsia="zh-CN"/>
        </w:rPr>
        <w:t>乙方自备钢包砌筑及维护所需的工器具如：风镐、高压胶管、搅拌机、切砖机、钢丝绳、吊带、铁锨等。</w:t>
      </w:r>
    </w:p>
    <w:p>
      <w:pPr>
        <w:numPr>
          <w:ilvl w:val="0"/>
          <w:numId w:val="1"/>
        </w:numPr>
        <w:tabs>
          <w:tab w:val="left" w:pos="540"/>
          <w:tab w:val="clear" w:pos="425"/>
        </w:tabs>
        <w:spacing w:line="312" w:lineRule="auto"/>
        <w:ind w:left="540" w:hanging="540"/>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lang w:eastAsia="zh-CN"/>
        </w:rPr>
        <w:t>乙方负责钢包废砖、废料、相关包装的回收及清理工作。</w:t>
      </w:r>
    </w:p>
    <w:p>
      <w:pPr>
        <w:numPr>
          <w:ilvl w:val="0"/>
          <w:numId w:val="1"/>
        </w:numPr>
        <w:tabs>
          <w:tab w:val="left" w:pos="540"/>
          <w:tab w:val="clear" w:pos="425"/>
        </w:tabs>
        <w:spacing w:line="312" w:lineRule="auto"/>
        <w:ind w:left="540" w:hanging="540"/>
        <w:rPr>
          <w:rFonts w:hint="eastAsia" w:ascii="宋体" w:hAnsi="宋体" w:eastAsia="宋体" w:cs="宋体"/>
          <w:strike w:val="0"/>
          <w:color w:val="auto"/>
          <w:sz w:val="21"/>
          <w:szCs w:val="21"/>
          <w:u w:val="none" w:color="auto"/>
        </w:rPr>
      </w:pPr>
      <w:r>
        <w:rPr>
          <w:rFonts w:hint="eastAsia" w:ascii="宋体" w:hAnsi="宋体" w:eastAsia="宋体" w:cs="宋体"/>
          <w:color w:val="auto"/>
          <w:sz w:val="21"/>
          <w:szCs w:val="21"/>
          <w:u w:val="none" w:color="auto"/>
          <w:lang w:eastAsia="zh-CN"/>
        </w:rPr>
        <w:t>乙方负责业务承包涉及区域的卫生及物料摆放，符合公司现场</w:t>
      </w:r>
      <w:r>
        <w:rPr>
          <w:rFonts w:hint="eastAsia" w:ascii="宋体" w:hAnsi="宋体" w:eastAsia="宋体" w:cs="宋体"/>
          <w:color w:val="auto"/>
          <w:sz w:val="21"/>
          <w:szCs w:val="21"/>
          <w:u w:val="none" w:color="auto"/>
          <w:lang w:val="en-US" w:eastAsia="zh-CN"/>
        </w:rPr>
        <w:t>6S管理标准。</w:t>
      </w:r>
    </w:p>
    <w:p>
      <w:pPr>
        <w:numPr>
          <w:ilvl w:val="0"/>
          <w:numId w:val="1"/>
        </w:numPr>
        <w:tabs>
          <w:tab w:val="left" w:pos="540"/>
          <w:tab w:val="clear" w:pos="425"/>
        </w:tabs>
        <w:spacing w:line="312" w:lineRule="auto"/>
        <w:ind w:left="540" w:hanging="540"/>
        <w:rPr>
          <w:rFonts w:hint="eastAsia" w:ascii="宋体" w:hAnsi="宋体" w:eastAsia="宋体" w:cs="宋体"/>
          <w:color w:val="auto"/>
          <w:sz w:val="21"/>
          <w:szCs w:val="21"/>
          <w:u w:val="single" w:color="auto"/>
        </w:rPr>
      </w:pPr>
      <w:r>
        <w:rPr>
          <w:rFonts w:hint="eastAsia" w:ascii="宋体" w:hAnsi="宋体" w:eastAsia="宋体" w:cs="宋体"/>
          <w:color w:val="auto"/>
          <w:sz w:val="21"/>
          <w:szCs w:val="21"/>
          <w:u w:val="none" w:color="auto"/>
          <w:lang w:eastAsia="zh-CN"/>
        </w:rPr>
        <w:t>乙方</w:t>
      </w:r>
      <w:r>
        <w:rPr>
          <w:rFonts w:hint="eastAsia" w:ascii="宋体" w:hAnsi="宋体"/>
          <w:strike w:val="0"/>
          <w:dstrike w:val="0"/>
          <w:color w:val="auto"/>
          <w:sz w:val="21"/>
          <w:szCs w:val="21"/>
        </w:rPr>
        <w:t>负责</w:t>
      </w:r>
      <w:r>
        <w:rPr>
          <w:rFonts w:hint="eastAsia" w:ascii="宋体" w:hAnsi="宋体"/>
          <w:strike w:val="0"/>
          <w:dstrike w:val="0"/>
          <w:color w:val="auto"/>
          <w:sz w:val="21"/>
          <w:szCs w:val="21"/>
          <w:lang w:eastAsia="zh-CN"/>
        </w:rPr>
        <w:t>业务承包涉及的</w:t>
      </w:r>
      <w:r>
        <w:rPr>
          <w:rFonts w:hint="eastAsia" w:ascii="宋体" w:hAnsi="宋体"/>
          <w:strike w:val="0"/>
          <w:dstrike w:val="0"/>
          <w:color w:val="auto"/>
          <w:sz w:val="21"/>
          <w:szCs w:val="21"/>
        </w:rPr>
        <w:t>设备</w:t>
      </w:r>
      <w:r>
        <w:rPr>
          <w:rFonts w:hint="eastAsia" w:ascii="宋体" w:hAnsi="宋体"/>
          <w:strike w:val="0"/>
          <w:dstrike w:val="0"/>
          <w:color w:val="auto"/>
          <w:sz w:val="21"/>
          <w:szCs w:val="21"/>
          <w:lang w:eastAsia="zh-CN"/>
        </w:rPr>
        <w:t>：烤包器、拆包机、</w:t>
      </w:r>
      <w:r>
        <w:rPr>
          <w:rFonts w:hint="eastAsia" w:ascii="宋体" w:hAnsi="宋体"/>
          <w:strike w:val="0"/>
          <w:dstrike w:val="0"/>
          <w:color w:val="auto"/>
          <w:sz w:val="21"/>
          <w:szCs w:val="21"/>
        </w:rPr>
        <w:t>工吊具的</w:t>
      </w:r>
      <w:r>
        <w:rPr>
          <w:rFonts w:hint="eastAsia" w:ascii="宋体" w:hAnsi="宋体"/>
          <w:strike w:val="0"/>
          <w:dstrike w:val="0"/>
          <w:color w:val="auto"/>
          <w:sz w:val="21"/>
          <w:szCs w:val="21"/>
          <w:lang w:eastAsia="zh-CN"/>
        </w:rPr>
        <w:t>日常点检工作。</w:t>
      </w:r>
    </w:p>
    <w:p>
      <w:pPr>
        <w:numPr>
          <w:ilvl w:val="0"/>
          <w:numId w:val="1"/>
        </w:numPr>
        <w:tabs>
          <w:tab w:val="left" w:pos="540"/>
          <w:tab w:val="clear" w:pos="425"/>
        </w:tabs>
        <w:spacing w:line="312" w:lineRule="auto"/>
        <w:ind w:left="540" w:hanging="540"/>
        <w:rPr>
          <w:rFonts w:hint="eastAsia" w:ascii="宋体" w:hAnsi="宋体" w:eastAsia="宋体" w:cs="宋体"/>
          <w:color w:val="auto"/>
          <w:sz w:val="21"/>
          <w:szCs w:val="21"/>
          <w:u w:val="single" w:color="auto"/>
        </w:rPr>
      </w:pPr>
      <w:r>
        <w:rPr>
          <w:rFonts w:hint="eastAsia" w:ascii="宋体" w:hAnsi="宋体"/>
          <w:bCs/>
          <w:color w:val="auto"/>
          <w:sz w:val="21"/>
          <w:szCs w:val="21"/>
        </w:rPr>
        <w:t>乙方</w:t>
      </w:r>
      <w:r>
        <w:rPr>
          <w:rFonts w:hint="eastAsia" w:ascii="宋体" w:hAnsi="宋体"/>
          <w:bCs/>
          <w:color w:val="auto"/>
          <w:sz w:val="21"/>
          <w:szCs w:val="21"/>
          <w:lang w:eastAsia="zh-CN"/>
        </w:rPr>
        <w:t>负责对下线</w:t>
      </w:r>
      <w:r>
        <w:rPr>
          <w:rFonts w:hint="eastAsia" w:ascii="宋体" w:hAnsi="宋体"/>
          <w:bCs/>
          <w:color w:val="auto"/>
          <w:sz w:val="21"/>
          <w:szCs w:val="21"/>
        </w:rPr>
        <w:t>钢包壳体</w:t>
      </w:r>
      <w:r>
        <w:rPr>
          <w:rFonts w:hint="eastAsia" w:ascii="宋体" w:hAnsi="宋体"/>
          <w:bCs/>
          <w:color w:val="auto"/>
          <w:sz w:val="21"/>
          <w:szCs w:val="21"/>
          <w:lang w:eastAsia="zh-CN"/>
        </w:rPr>
        <w:t>清理，检查钢包</w:t>
      </w:r>
      <w:r>
        <w:rPr>
          <w:rFonts w:hint="eastAsia" w:ascii="宋体" w:hAnsi="宋体"/>
          <w:bCs/>
          <w:color w:val="auto"/>
          <w:sz w:val="21"/>
          <w:szCs w:val="21"/>
        </w:rPr>
        <w:t>壳体是否符合安全使用要求，发现隐患及时报告炼钢部主管领导,经炼钢部主管领导确认后，确定维修或废弃；</w:t>
      </w:r>
    </w:p>
    <w:p>
      <w:pPr>
        <w:numPr>
          <w:ilvl w:val="0"/>
          <w:numId w:val="1"/>
        </w:numPr>
        <w:tabs>
          <w:tab w:val="left" w:pos="540"/>
          <w:tab w:val="clear" w:pos="425"/>
        </w:tabs>
        <w:spacing w:line="312" w:lineRule="auto"/>
        <w:ind w:left="540" w:hanging="540"/>
        <w:rPr>
          <w:rFonts w:hint="eastAsia" w:ascii="宋体" w:hAnsi="宋体"/>
          <w:bCs/>
          <w:color w:val="auto"/>
          <w:sz w:val="21"/>
          <w:szCs w:val="21"/>
        </w:rPr>
      </w:pPr>
      <w:r>
        <w:rPr>
          <w:rFonts w:hint="eastAsia" w:ascii="宋体" w:hAnsi="宋体"/>
          <w:bCs/>
          <w:color w:val="auto"/>
          <w:sz w:val="21"/>
          <w:szCs w:val="21"/>
        </w:rPr>
        <w:t>乙方根据甲方在钢包使用过程存在的问题，</w:t>
      </w:r>
      <w:r>
        <w:rPr>
          <w:rFonts w:hint="eastAsia" w:ascii="宋体" w:hAnsi="宋体"/>
          <w:bCs/>
          <w:color w:val="auto"/>
          <w:sz w:val="21"/>
          <w:szCs w:val="21"/>
          <w:lang w:eastAsia="zh-CN"/>
        </w:rPr>
        <w:t>可以</w:t>
      </w:r>
      <w:r>
        <w:rPr>
          <w:rFonts w:hint="eastAsia" w:ascii="宋体" w:hAnsi="宋体"/>
          <w:bCs/>
          <w:color w:val="auto"/>
          <w:sz w:val="21"/>
          <w:szCs w:val="21"/>
        </w:rPr>
        <w:t>提出改进要求</w:t>
      </w:r>
      <w:r>
        <w:rPr>
          <w:rFonts w:hint="eastAsia" w:ascii="宋体" w:hAnsi="宋体"/>
          <w:bCs/>
          <w:color w:val="auto"/>
          <w:sz w:val="21"/>
          <w:szCs w:val="21"/>
          <w:lang w:eastAsia="zh-CN"/>
        </w:rPr>
        <w:t>。</w:t>
      </w:r>
    </w:p>
    <w:p>
      <w:pPr>
        <w:numPr>
          <w:ilvl w:val="0"/>
          <w:numId w:val="0"/>
        </w:numPr>
        <w:tabs>
          <w:tab w:val="left" w:pos="540"/>
        </w:tabs>
        <w:spacing w:line="312" w:lineRule="auto"/>
        <w:ind w:leftChars="0"/>
        <w:rPr>
          <w:rFonts w:hint="eastAsia" w:ascii="宋体" w:hAnsi="宋体"/>
          <w:b/>
          <w:bCs/>
          <w:color w:val="auto"/>
          <w:sz w:val="24"/>
        </w:rPr>
      </w:pPr>
      <w:r>
        <w:rPr>
          <w:rFonts w:hint="eastAsia" w:ascii="宋体" w:hAnsi="宋体"/>
          <w:b/>
          <w:bCs/>
          <w:color w:val="auto"/>
          <w:sz w:val="24"/>
          <w:lang w:eastAsia="zh-CN"/>
        </w:rPr>
        <w:t>二、耐材标准</w:t>
      </w:r>
    </w:p>
    <w:p>
      <w:pPr>
        <w:numPr>
          <w:ilvl w:val="0"/>
          <w:numId w:val="2"/>
        </w:numPr>
        <w:tabs>
          <w:tab w:val="left" w:pos="540"/>
        </w:tabs>
        <w:spacing w:line="312" w:lineRule="auto"/>
        <w:ind w:leftChars="0"/>
        <w:rPr>
          <w:rFonts w:hint="eastAsia" w:ascii="宋体" w:hAnsi="宋体"/>
          <w:b/>
          <w:bCs/>
          <w:color w:val="auto"/>
          <w:sz w:val="24"/>
          <w:lang w:val="en-US" w:eastAsia="zh-CN"/>
        </w:rPr>
      </w:pPr>
      <w:r>
        <w:rPr>
          <w:rFonts w:hint="eastAsia" w:ascii="宋体" w:hAnsi="宋体"/>
          <w:b/>
          <w:bCs/>
          <w:color w:val="auto"/>
          <w:sz w:val="24"/>
          <w:lang w:val="en-US" w:eastAsia="zh-CN"/>
        </w:rPr>
        <w:t>包壁砖</w:t>
      </w:r>
    </w:p>
    <w:tbl>
      <w:tblPr>
        <w:tblStyle w:val="7"/>
        <w:tblW w:w="4998" w:type="pct"/>
        <w:tblInd w:w="0" w:type="dxa"/>
        <w:tblLayout w:type="autofit"/>
        <w:tblCellMar>
          <w:top w:w="0" w:type="dxa"/>
          <w:left w:w="0" w:type="dxa"/>
          <w:bottom w:w="0" w:type="dxa"/>
          <w:right w:w="0" w:type="dxa"/>
        </w:tblCellMar>
      </w:tblPr>
      <w:tblGrid>
        <w:gridCol w:w="4477"/>
        <w:gridCol w:w="3082"/>
        <w:gridCol w:w="2105"/>
      </w:tblGrid>
      <w:tr>
        <w:tblPrEx>
          <w:tblCellMar>
            <w:top w:w="0" w:type="dxa"/>
            <w:left w:w="0" w:type="dxa"/>
            <w:bottom w:w="0" w:type="dxa"/>
            <w:right w:w="0" w:type="dxa"/>
          </w:tblCellMar>
        </w:tblPrEx>
        <w:trPr>
          <w:trHeight w:val="270"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检测项目</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条件</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体积密度/g/cm3</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≥2.90</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显气孔率/%</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耐压强度/Mpa</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30</w:t>
            </w:r>
          </w:p>
        </w:tc>
      </w:tr>
      <w:tr>
        <w:tblPrEx>
          <w:tblCellMar>
            <w:top w:w="0" w:type="dxa"/>
            <w:left w:w="0" w:type="dxa"/>
            <w:bottom w:w="0" w:type="dxa"/>
            <w:right w:w="0" w:type="dxa"/>
          </w:tblCellMar>
        </w:tblPrEx>
        <w:trPr>
          <w:trHeight w:val="270" w:hRule="atLeast"/>
        </w:trPr>
        <w:tc>
          <w:tcPr>
            <w:tcW w:w="231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化学成分/%</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MgO</w:t>
            </w:r>
            <w:r>
              <w:rPr>
                <w:rFonts w:hint="eastAsia" w:ascii="Times New Roman" w:hAnsi="Times New Roman" w:eastAsia="宋体" w:cs="Times New Roman"/>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Al</w:t>
            </w:r>
            <w:r>
              <w:rPr>
                <w:rFonts w:hint="default" w:ascii="Times New Roman" w:hAnsi="Times New Roman" w:eastAsia="宋体" w:cs="Times New Roman"/>
                <w:i w:val="0"/>
                <w:color w:val="000000"/>
                <w:kern w:val="0"/>
                <w:sz w:val="21"/>
                <w:szCs w:val="21"/>
                <w:u w:val="none"/>
                <w:vertAlign w:val="subscript"/>
                <w:lang w:val="en-US" w:eastAsia="zh-CN" w:bidi="ar"/>
              </w:rPr>
              <w:t>2</w:t>
            </w:r>
            <w:r>
              <w:rPr>
                <w:rFonts w:hint="default" w:ascii="Times New Roman" w:hAnsi="Times New Roman" w:eastAsia="宋体" w:cs="Times New Roman"/>
                <w:i w:val="0"/>
                <w:color w:val="000000"/>
                <w:kern w:val="0"/>
                <w:sz w:val="21"/>
                <w:szCs w:val="21"/>
                <w:u w:val="none"/>
                <w:lang w:val="en-US" w:eastAsia="zh-CN" w:bidi="ar"/>
              </w:rPr>
              <w:t>O</w:t>
            </w:r>
            <w:r>
              <w:rPr>
                <w:rFonts w:hint="default" w:ascii="Times New Roman" w:hAnsi="Times New Roman" w:eastAsia="宋体" w:cs="Times New Roman"/>
                <w:i w:val="0"/>
                <w:color w:val="000000"/>
                <w:kern w:val="0"/>
                <w:sz w:val="21"/>
                <w:szCs w:val="21"/>
                <w:u w:val="none"/>
                <w:vertAlign w:val="subscript"/>
                <w:lang w:val="en-US" w:eastAsia="zh-CN" w:bidi="ar"/>
              </w:rPr>
              <w:t>3</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76</w:t>
            </w:r>
            <w:r>
              <w:rPr>
                <w:rFonts w:hint="default" w:ascii="Times New Roman" w:hAnsi="Times New Roman" w:eastAsia="宋体" w:cs="Times New Roman"/>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70" w:hRule="atLeast"/>
        </w:trPr>
        <w:tc>
          <w:tcPr>
            <w:tcW w:w="23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000000"/>
                <w:sz w:val="21"/>
                <w:szCs w:val="21"/>
                <w:u w:val="none"/>
              </w:rPr>
            </w:pP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C</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12</w:t>
            </w:r>
            <w:r>
              <w:rPr>
                <w:rFonts w:hint="default" w:ascii="Times New Roman" w:hAnsi="Times New Roman" w:eastAsia="宋体" w:cs="Times New Roman"/>
                <w:i w:val="0"/>
                <w:color w:val="000000"/>
                <w:kern w:val="0"/>
                <w:sz w:val="21"/>
                <w:szCs w:val="21"/>
                <w:u w:val="none"/>
                <w:lang w:val="en-US" w:eastAsia="zh-CN" w:bidi="ar"/>
              </w:rPr>
              <w:t>.0</w:t>
            </w:r>
          </w:p>
        </w:tc>
      </w:tr>
    </w:tbl>
    <w:p>
      <w:pPr>
        <w:numPr>
          <w:ilvl w:val="0"/>
          <w:numId w:val="2"/>
        </w:numPr>
        <w:tabs>
          <w:tab w:val="left" w:pos="540"/>
        </w:tabs>
        <w:spacing w:line="312" w:lineRule="auto"/>
        <w:ind w:left="0" w:leftChars="0" w:firstLine="0" w:firstLineChars="0"/>
        <w:rPr>
          <w:rFonts w:hint="eastAsia" w:ascii="宋体" w:hAnsi="宋体"/>
          <w:b/>
          <w:bCs/>
          <w:color w:val="auto"/>
          <w:sz w:val="24"/>
          <w:lang w:val="en-US" w:eastAsia="zh-CN"/>
        </w:rPr>
      </w:pPr>
      <w:r>
        <w:rPr>
          <w:rFonts w:hint="eastAsia" w:ascii="宋体" w:hAnsi="宋体"/>
          <w:b/>
          <w:bCs/>
          <w:color w:val="auto"/>
          <w:sz w:val="24"/>
          <w:lang w:val="en-US" w:eastAsia="zh-CN"/>
        </w:rPr>
        <w:t>冲击区包底砖</w:t>
      </w:r>
    </w:p>
    <w:tbl>
      <w:tblPr>
        <w:tblStyle w:val="7"/>
        <w:tblW w:w="4998" w:type="pct"/>
        <w:tblInd w:w="0" w:type="dxa"/>
        <w:tblLayout w:type="autofit"/>
        <w:tblCellMar>
          <w:top w:w="0" w:type="dxa"/>
          <w:left w:w="0" w:type="dxa"/>
          <w:bottom w:w="0" w:type="dxa"/>
          <w:right w:w="0" w:type="dxa"/>
        </w:tblCellMar>
      </w:tblPr>
      <w:tblGrid>
        <w:gridCol w:w="4477"/>
        <w:gridCol w:w="3082"/>
        <w:gridCol w:w="2105"/>
      </w:tblGrid>
      <w:tr>
        <w:tblPrEx>
          <w:tblCellMar>
            <w:top w:w="0" w:type="dxa"/>
            <w:left w:w="0" w:type="dxa"/>
            <w:bottom w:w="0" w:type="dxa"/>
            <w:right w:w="0" w:type="dxa"/>
          </w:tblCellMar>
        </w:tblPrEx>
        <w:trPr>
          <w:trHeight w:val="270"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检测项目</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条件</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体积密度/g/cm3</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3.</w:t>
            </w:r>
            <w:r>
              <w:rPr>
                <w:rFonts w:hint="default" w:ascii="Times New Roman" w:hAnsi="Times New Roman" w:eastAsia="宋体" w:cs="Times New Roman"/>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显气孔率/%</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7</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耐压强度/Mpa</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≥40</w:t>
            </w:r>
          </w:p>
        </w:tc>
      </w:tr>
      <w:tr>
        <w:tblPrEx>
          <w:tblCellMar>
            <w:top w:w="0" w:type="dxa"/>
            <w:left w:w="0" w:type="dxa"/>
            <w:bottom w:w="0" w:type="dxa"/>
            <w:right w:w="0" w:type="dxa"/>
          </w:tblCellMar>
        </w:tblPrEx>
        <w:trPr>
          <w:trHeight w:val="270" w:hRule="atLeast"/>
        </w:trPr>
        <w:tc>
          <w:tcPr>
            <w:tcW w:w="231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化学成分/%</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MgO</w:t>
            </w:r>
            <w:r>
              <w:rPr>
                <w:rFonts w:hint="eastAsia" w:ascii="Times New Roman" w:hAnsi="Times New Roman" w:eastAsia="宋体" w:cs="Times New Roman"/>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Al</w:t>
            </w:r>
            <w:r>
              <w:rPr>
                <w:rFonts w:hint="default" w:ascii="Times New Roman" w:hAnsi="Times New Roman" w:eastAsia="宋体" w:cs="Times New Roman"/>
                <w:i w:val="0"/>
                <w:color w:val="000000"/>
                <w:kern w:val="0"/>
                <w:sz w:val="21"/>
                <w:szCs w:val="21"/>
                <w:u w:val="none"/>
                <w:vertAlign w:val="subscript"/>
                <w:lang w:val="en-US" w:eastAsia="zh-CN" w:bidi="ar"/>
              </w:rPr>
              <w:t>2</w:t>
            </w:r>
            <w:r>
              <w:rPr>
                <w:rFonts w:hint="default" w:ascii="Times New Roman" w:hAnsi="Times New Roman" w:eastAsia="宋体" w:cs="Times New Roman"/>
                <w:i w:val="0"/>
                <w:color w:val="000000"/>
                <w:kern w:val="0"/>
                <w:sz w:val="21"/>
                <w:szCs w:val="21"/>
                <w:u w:val="none"/>
                <w:lang w:val="en-US" w:eastAsia="zh-CN" w:bidi="ar"/>
              </w:rPr>
              <w:t>O</w:t>
            </w:r>
            <w:r>
              <w:rPr>
                <w:rFonts w:hint="default" w:ascii="Times New Roman" w:hAnsi="Times New Roman" w:eastAsia="宋体" w:cs="Times New Roman"/>
                <w:i w:val="0"/>
                <w:color w:val="000000"/>
                <w:kern w:val="0"/>
                <w:sz w:val="21"/>
                <w:szCs w:val="21"/>
                <w:u w:val="none"/>
                <w:vertAlign w:val="subscript"/>
                <w:lang w:val="en-US" w:eastAsia="zh-CN" w:bidi="ar"/>
              </w:rPr>
              <w:t>3</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78</w:t>
            </w:r>
            <w:r>
              <w:rPr>
                <w:rFonts w:hint="default" w:ascii="Times New Roman" w:hAnsi="Times New Roman" w:eastAsia="宋体" w:cs="Times New Roman"/>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70" w:hRule="atLeast"/>
        </w:trPr>
        <w:tc>
          <w:tcPr>
            <w:tcW w:w="23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000000"/>
                <w:sz w:val="21"/>
                <w:szCs w:val="21"/>
                <w:u w:val="none"/>
              </w:rPr>
            </w:pP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C</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8.0</w:t>
            </w:r>
          </w:p>
        </w:tc>
      </w:tr>
    </w:tbl>
    <w:p>
      <w:pPr>
        <w:numPr>
          <w:ilvl w:val="0"/>
          <w:numId w:val="2"/>
        </w:numPr>
        <w:tabs>
          <w:tab w:val="left" w:pos="540"/>
        </w:tabs>
        <w:spacing w:line="312" w:lineRule="auto"/>
        <w:ind w:left="0" w:leftChars="0" w:firstLine="0" w:firstLineChars="0"/>
        <w:rPr>
          <w:rFonts w:hint="eastAsia" w:ascii="宋体" w:hAnsi="宋体"/>
          <w:b/>
          <w:bCs/>
          <w:color w:val="auto"/>
          <w:sz w:val="24"/>
          <w:lang w:val="en-US" w:eastAsia="zh-CN"/>
        </w:rPr>
      </w:pPr>
      <w:r>
        <w:rPr>
          <w:rFonts w:hint="eastAsia" w:ascii="宋体" w:hAnsi="宋体"/>
          <w:b/>
          <w:bCs/>
          <w:color w:val="auto"/>
          <w:sz w:val="24"/>
          <w:lang w:val="en-US" w:eastAsia="zh-CN"/>
        </w:rPr>
        <w:t>非冲击区包底砖</w:t>
      </w:r>
    </w:p>
    <w:tbl>
      <w:tblPr>
        <w:tblStyle w:val="7"/>
        <w:tblW w:w="4998" w:type="pct"/>
        <w:tblInd w:w="0" w:type="dxa"/>
        <w:tblLayout w:type="autofit"/>
        <w:tblCellMar>
          <w:top w:w="0" w:type="dxa"/>
          <w:left w:w="0" w:type="dxa"/>
          <w:bottom w:w="0" w:type="dxa"/>
          <w:right w:w="0" w:type="dxa"/>
        </w:tblCellMar>
      </w:tblPr>
      <w:tblGrid>
        <w:gridCol w:w="4477"/>
        <w:gridCol w:w="3082"/>
        <w:gridCol w:w="2105"/>
      </w:tblGrid>
      <w:tr>
        <w:tblPrEx>
          <w:tblCellMar>
            <w:top w:w="0" w:type="dxa"/>
            <w:left w:w="0" w:type="dxa"/>
            <w:bottom w:w="0" w:type="dxa"/>
            <w:right w:w="0" w:type="dxa"/>
          </w:tblCellMar>
        </w:tblPrEx>
        <w:trPr>
          <w:trHeight w:val="270"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检测项目</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条件</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体积密度/g/cm3</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r>
              <w:rPr>
                <w:rFonts w:hint="eastAsia" w:ascii="Times New Roman" w:hAnsi="Times New Roman" w:eastAsia="宋体" w:cs="Times New Roman"/>
                <w:i w:val="0"/>
                <w:color w:val="000000"/>
                <w:kern w:val="0"/>
                <w:sz w:val="21"/>
                <w:szCs w:val="21"/>
                <w:u w:val="none"/>
                <w:lang w:val="en-US" w:eastAsia="zh-CN" w:bidi="ar"/>
              </w:rPr>
              <w:t>.8</w:t>
            </w:r>
            <w:r>
              <w:rPr>
                <w:rFonts w:hint="default" w:ascii="Times New Roman" w:hAnsi="Times New Roman" w:eastAsia="宋体" w:cs="Times New Roman"/>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显气孔率/%</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7</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耐压强度/Mpa</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30</w:t>
            </w:r>
          </w:p>
        </w:tc>
      </w:tr>
      <w:tr>
        <w:tblPrEx>
          <w:tblCellMar>
            <w:top w:w="0" w:type="dxa"/>
            <w:left w:w="0" w:type="dxa"/>
            <w:bottom w:w="0" w:type="dxa"/>
            <w:right w:w="0" w:type="dxa"/>
          </w:tblCellMar>
        </w:tblPrEx>
        <w:trPr>
          <w:trHeight w:val="270" w:hRule="atLeast"/>
        </w:trPr>
        <w:tc>
          <w:tcPr>
            <w:tcW w:w="231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化学成分/%</w:t>
            </w: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MgO</w:t>
            </w:r>
            <w:r>
              <w:rPr>
                <w:rFonts w:hint="eastAsia" w:ascii="Times New Roman" w:hAnsi="Times New Roman" w:eastAsia="宋体" w:cs="Times New Roman"/>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Al</w:t>
            </w:r>
            <w:r>
              <w:rPr>
                <w:rFonts w:hint="default" w:ascii="Times New Roman" w:hAnsi="Times New Roman" w:eastAsia="宋体" w:cs="Times New Roman"/>
                <w:i w:val="0"/>
                <w:color w:val="000000"/>
                <w:kern w:val="0"/>
                <w:sz w:val="21"/>
                <w:szCs w:val="21"/>
                <w:u w:val="none"/>
                <w:vertAlign w:val="subscript"/>
                <w:lang w:val="en-US" w:eastAsia="zh-CN" w:bidi="ar"/>
              </w:rPr>
              <w:t>2</w:t>
            </w:r>
            <w:r>
              <w:rPr>
                <w:rFonts w:hint="default" w:ascii="Times New Roman" w:hAnsi="Times New Roman" w:eastAsia="宋体" w:cs="Times New Roman"/>
                <w:i w:val="0"/>
                <w:color w:val="000000"/>
                <w:kern w:val="0"/>
                <w:sz w:val="21"/>
                <w:szCs w:val="21"/>
                <w:u w:val="none"/>
                <w:lang w:val="en-US" w:eastAsia="zh-CN" w:bidi="ar"/>
              </w:rPr>
              <w:t>O</w:t>
            </w:r>
            <w:r>
              <w:rPr>
                <w:rFonts w:hint="default" w:ascii="Times New Roman" w:hAnsi="Times New Roman" w:eastAsia="宋体" w:cs="Times New Roman"/>
                <w:i w:val="0"/>
                <w:color w:val="000000"/>
                <w:kern w:val="0"/>
                <w:sz w:val="21"/>
                <w:szCs w:val="21"/>
                <w:u w:val="none"/>
                <w:vertAlign w:val="subscript"/>
                <w:lang w:val="en-US" w:eastAsia="zh-CN" w:bidi="ar"/>
              </w:rPr>
              <w:t>3</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70.</w:t>
            </w:r>
            <w:r>
              <w:rPr>
                <w:rFonts w:hint="default" w:ascii="Times New Roman" w:hAnsi="Times New Roman" w:eastAsia="宋体" w:cs="Times New Roman"/>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70" w:hRule="atLeast"/>
        </w:trPr>
        <w:tc>
          <w:tcPr>
            <w:tcW w:w="23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000000"/>
                <w:sz w:val="21"/>
                <w:szCs w:val="21"/>
                <w:u w:val="none"/>
              </w:rPr>
            </w:pPr>
          </w:p>
        </w:tc>
        <w:tc>
          <w:tcPr>
            <w:tcW w:w="1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C</w:t>
            </w:r>
          </w:p>
        </w:tc>
        <w:tc>
          <w:tcPr>
            <w:tcW w:w="10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1</w:t>
            </w:r>
            <w:r>
              <w:rPr>
                <w:rFonts w:hint="default" w:ascii="Times New Roman" w:hAnsi="Times New Roman" w:eastAsia="宋体" w:cs="Times New Roman"/>
                <w:i w:val="0"/>
                <w:color w:val="000000"/>
                <w:kern w:val="0"/>
                <w:sz w:val="21"/>
                <w:szCs w:val="21"/>
                <w:u w:val="none"/>
                <w:lang w:val="en-US" w:eastAsia="zh-CN" w:bidi="ar"/>
              </w:rPr>
              <w:t>2.0</w:t>
            </w:r>
          </w:p>
        </w:tc>
      </w:tr>
    </w:tbl>
    <w:p>
      <w:pPr>
        <w:numPr>
          <w:ilvl w:val="0"/>
          <w:numId w:val="2"/>
        </w:numPr>
        <w:tabs>
          <w:tab w:val="left" w:pos="540"/>
        </w:tabs>
        <w:spacing w:line="312" w:lineRule="auto"/>
        <w:ind w:left="0" w:leftChars="0" w:firstLine="0" w:firstLineChars="0"/>
        <w:rPr>
          <w:rFonts w:hint="eastAsia" w:ascii="宋体" w:hAnsi="宋体"/>
          <w:b/>
          <w:bCs/>
          <w:color w:val="auto"/>
          <w:sz w:val="24"/>
          <w:lang w:val="en-US" w:eastAsia="zh-CN"/>
        </w:rPr>
      </w:pPr>
      <w:r>
        <w:rPr>
          <w:rFonts w:hint="eastAsia" w:ascii="宋体" w:hAnsi="宋体"/>
          <w:b/>
          <w:bCs/>
          <w:color w:val="auto"/>
          <w:sz w:val="24"/>
          <w:lang w:val="en-US" w:eastAsia="zh-CN"/>
        </w:rPr>
        <w:t>渣线砖</w:t>
      </w:r>
    </w:p>
    <w:tbl>
      <w:tblPr>
        <w:tblStyle w:val="7"/>
        <w:tblW w:w="4998" w:type="pct"/>
        <w:tblInd w:w="0" w:type="dxa"/>
        <w:tblLayout w:type="autofit"/>
        <w:tblCellMar>
          <w:top w:w="0" w:type="dxa"/>
          <w:left w:w="0" w:type="dxa"/>
          <w:bottom w:w="0" w:type="dxa"/>
          <w:right w:w="0" w:type="dxa"/>
        </w:tblCellMar>
      </w:tblPr>
      <w:tblGrid>
        <w:gridCol w:w="4478"/>
        <w:gridCol w:w="3119"/>
        <w:gridCol w:w="2067"/>
      </w:tblGrid>
      <w:tr>
        <w:tblPrEx>
          <w:tblCellMar>
            <w:top w:w="0" w:type="dxa"/>
            <w:left w:w="0" w:type="dxa"/>
            <w:bottom w:w="0" w:type="dxa"/>
            <w:right w:w="0" w:type="dxa"/>
          </w:tblCellMar>
        </w:tblPrEx>
        <w:trPr>
          <w:trHeight w:val="270"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检测项目</w:t>
            </w:r>
          </w:p>
        </w:tc>
        <w:tc>
          <w:tcPr>
            <w:tcW w:w="16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条件</w:t>
            </w:r>
          </w:p>
        </w:tc>
        <w:tc>
          <w:tcPr>
            <w:tcW w:w="10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体积密度/g/cm3</w:t>
            </w:r>
          </w:p>
        </w:tc>
        <w:tc>
          <w:tcPr>
            <w:tcW w:w="16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≥2.9</w:t>
            </w:r>
            <w:r>
              <w:rPr>
                <w:rFonts w:hint="eastAsia" w:ascii="Times New Roman" w:hAnsi="Times New Roman" w:eastAsia="宋体" w:cs="Times New Roman"/>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显气孔率/%</w:t>
            </w:r>
          </w:p>
        </w:tc>
        <w:tc>
          <w:tcPr>
            <w:tcW w:w="16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3.</w:t>
            </w:r>
            <w:r>
              <w:rPr>
                <w:rFonts w:hint="default" w:ascii="Times New Roman" w:hAnsi="Times New Roman" w:eastAsia="宋体" w:cs="Times New Roman"/>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285" w:hRule="atLeast"/>
        </w:trPr>
        <w:tc>
          <w:tcPr>
            <w:tcW w:w="23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耐压强度/Mpa</w:t>
            </w:r>
          </w:p>
        </w:tc>
        <w:tc>
          <w:tcPr>
            <w:tcW w:w="16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110℃</w:t>
            </w:r>
            <w:r>
              <w:rPr>
                <w:rStyle w:val="10"/>
                <w:rFonts w:hint="default" w:ascii="Times New Roman" w:hAnsi="Times New Roman" w:eastAsia="宋体" w:cs="Times New Roman"/>
                <w:sz w:val="21"/>
                <w:szCs w:val="21"/>
                <w:lang w:val="en-US" w:eastAsia="zh-CN" w:bidi="ar"/>
              </w:rPr>
              <w:t>×</w:t>
            </w:r>
            <w:r>
              <w:rPr>
                <w:rStyle w:val="9"/>
                <w:rFonts w:hint="default" w:ascii="Times New Roman" w:hAnsi="Times New Roman" w:eastAsia="宋体" w:cs="Times New Roman"/>
                <w:sz w:val="21"/>
                <w:szCs w:val="21"/>
                <w:lang w:val="en-US" w:eastAsia="zh-CN" w:bidi="ar"/>
              </w:rPr>
              <w:t>24h</w:t>
            </w:r>
          </w:p>
        </w:tc>
        <w:tc>
          <w:tcPr>
            <w:tcW w:w="10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38</w:t>
            </w:r>
          </w:p>
        </w:tc>
      </w:tr>
      <w:tr>
        <w:tblPrEx>
          <w:tblCellMar>
            <w:top w:w="0" w:type="dxa"/>
            <w:left w:w="0" w:type="dxa"/>
            <w:bottom w:w="0" w:type="dxa"/>
            <w:right w:w="0" w:type="dxa"/>
          </w:tblCellMar>
        </w:tblPrEx>
        <w:trPr>
          <w:trHeight w:val="270" w:hRule="atLeast"/>
        </w:trPr>
        <w:tc>
          <w:tcPr>
            <w:tcW w:w="231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化学成分/%</w:t>
            </w:r>
          </w:p>
        </w:tc>
        <w:tc>
          <w:tcPr>
            <w:tcW w:w="16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MgO</w:t>
            </w:r>
          </w:p>
        </w:tc>
        <w:tc>
          <w:tcPr>
            <w:tcW w:w="10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76.</w:t>
            </w:r>
            <w:r>
              <w:rPr>
                <w:rFonts w:hint="default" w:ascii="Times New Roman" w:hAnsi="Times New Roman" w:eastAsia="宋体" w:cs="Times New Roman"/>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70" w:hRule="atLeast"/>
        </w:trPr>
        <w:tc>
          <w:tcPr>
            <w:tcW w:w="23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rPr>
                <w:rFonts w:hint="default" w:ascii="Times New Roman" w:hAnsi="Times New Roman" w:eastAsia="宋体" w:cs="Times New Roman"/>
                <w:i w:val="0"/>
                <w:color w:val="000000"/>
                <w:sz w:val="21"/>
                <w:szCs w:val="21"/>
                <w:u w:val="none"/>
              </w:rPr>
            </w:pPr>
          </w:p>
        </w:tc>
        <w:tc>
          <w:tcPr>
            <w:tcW w:w="16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C</w:t>
            </w:r>
          </w:p>
        </w:tc>
        <w:tc>
          <w:tcPr>
            <w:tcW w:w="10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bidi="ar"/>
              </w:rPr>
              <w:t>≥</w:t>
            </w:r>
            <w:r>
              <w:rPr>
                <w:rFonts w:hint="eastAsia" w:ascii="Times New Roman" w:hAnsi="Times New Roman" w:eastAsia="宋体" w:cs="Times New Roman"/>
                <w:i w:val="0"/>
                <w:color w:val="000000"/>
                <w:kern w:val="0"/>
                <w:sz w:val="21"/>
                <w:szCs w:val="21"/>
                <w:u w:val="none"/>
                <w:lang w:val="en-US" w:eastAsia="zh-CN" w:bidi="ar"/>
              </w:rPr>
              <w:t>14</w:t>
            </w:r>
          </w:p>
        </w:tc>
      </w:tr>
    </w:tbl>
    <w:p>
      <w:pPr>
        <w:numPr>
          <w:ilvl w:val="0"/>
          <w:numId w:val="2"/>
        </w:numPr>
        <w:tabs>
          <w:tab w:val="left" w:pos="540"/>
        </w:tabs>
        <w:spacing w:line="312" w:lineRule="auto"/>
        <w:ind w:left="0" w:leftChars="0" w:firstLine="0" w:firstLineChars="0"/>
        <w:rPr>
          <w:rFonts w:hint="eastAsia" w:ascii="宋体" w:hAnsi="宋体"/>
          <w:b/>
          <w:bCs/>
          <w:color w:val="auto"/>
          <w:sz w:val="24"/>
          <w:lang w:val="en-US" w:eastAsia="zh-CN"/>
        </w:rPr>
      </w:pPr>
      <w:r>
        <w:rPr>
          <w:rFonts w:hint="eastAsia" w:ascii="宋体" w:hAnsi="宋体"/>
          <w:b/>
          <w:bCs/>
          <w:color w:val="auto"/>
          <w:sz w:val="24"/>
          <w:lang w:val="en-US" w:eastAsia="zh-CN"/>
        </w:rPr>
        <w:t>永久层料理化指标</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2"/>
        <w:gridCol w:w="1539"/>
        <w:gridCol w:w="1365"/>
        <w:gridCol w:w="1365"/>
        <w:gridCol w:w="1444"/>
        <w:gridCol w:w="1241"/>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5000" w:type="pct"/>
            <w:gridSpan w:val="7"/>
            <w:noWrap w:val="0"/>
            <w:vAlign w:val="top"/>
          </w:tcPr>
          <w:p>
            <w:pPr>
              <w:jc w:val="center"/>
              <w:rPr>
                <w:b w:val="0"/>
                <w:bCs/>
                <w:sz w:val="21"/>
                <w:szCs w:val="21"/>
              </w:rPr>
            </w:pPr>
            <w:r>
              <w:rPr>
                <w:b w:val="0"/>
                <w:bCs/>
                <w:sz w:val="21"/>
                <w:szCs w:val="21"/>
              </w:rPr>
              <w:t>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920" w:type="pct"/>
            <w:vMerge w:val="restart"/>
            <w:noWrap w:val="0"/>
            <w:vAlign w:val="center"/>
          </w:tcPr>
          <w:p>
            <w:pPr>
              <w:jc w:val="center"/>
              <w:rPr>
                <w:b w:val="0"/>
                <w:bCs/>
                <w:sz w:val="21"/>
                <w:szCs w:val="21"/>
              </w:rPr>
            </w:pPr>
            <w:r>
              <w:rPr>
                <w:b w:val="0"/>
                <w:bCs/>
                <w:sz w:val="21"/>
                <w:szCs w:val="21"/>
              </w:rPr>
              <w:t>化学成分%</w:t>
            </w:r>
          </w:p>
        </w:tc>
        <w:tc>
          <w:tcPr>
            <w:tcW w:w="781" w:type="pct"/>
            <w:noWrap w:val="0"/>
            <w:vAlign w:val="top"/>
          </w:tcPr>
          <w:p>
            <w:pPr>
              <w:jc w:val="center"/>
              <w:rPr>
                <w:b w:val="0"/>
                <w:bCs/>
                <w:sz w:val="21"/>
                <w:szCs w:val="21"/>
              </w:rPr>
            </w:pPr>
            <w:r>
              <w:rPr>
                <w:b w:val="0"/>
                <w:bCs/>
                <w:sz w:val="21"/>
                <w:szCs w:val="21"/>
              </w:rPr>
              <w:t>AL</w:t>
            </w:r>
            <w:r>
              <w:rPr>
                <w:b w:val="0"/>
                <w:bCs/>
                <w:sz w:val="21"/>
                <w:szCs w:val="21"/>
                <w:vertAlign w:val="subscript"/>
              </w:rPr>
              <w:t>2</w:t>
            </w:r>
            <w:r>
              <w:rPr>
                <w:b w:val="0"/>
                <w:bCs/>
                <w:sz w:val="21"/>
                <w:szCs w:val="21"/>
              </w:rPr>
              <w:t>O</w:t>
            </w:r>
            <w:r>
              <w:rPr>
                <w:b w:val="0"/>
                <w:bCs/>
                <w:sz w:val="21"/>
                <w:szCs w:val="21"/>
                <w:vertAlign w:val="subscript"/>
              </w:rPr>
              <w:t>3</w:t>
            </w:r>
          </w:p>
        </w:tc>
        <w:tc>
          <w:tcPr>
            <w:tcW w:w="693" w:type="pct"/>
            <w:noWrap w:val="0"/>
            <w:vAlign w:val="top"/>
          </w:tcPr>
          <w:p>
            <w:pPr>
              <w:jc w:val="center"/>
              <w:rPr>
                <w:b w:val="0"/>
                <w:bCs/>
                <w:sz w:val="21"/>
                <w:szCs w:val="21"/>
              </w:rPr>
            </w:pPr>
            <w:r>
              <w:rPr>
                <w:b w:val="0"/>
                <w:bCs/>
                <w:sz w:val="21"/>
                <w:szCs w:val="21"/>
              </w:rPr>
              <w:t>S</w:t>
            </w:r>
            <w:r>
              <w:rPr>
                <w:b w:val="0"/>
                <w:bCs/>
                <w:sz w:val="21"/>
                <w:szCs w:val="21"/>
                <w:vertAlign w:val="subscript"/>
              </w:rPr>
              <w:t>I</w:t>
            </w:r>
            <w:r>
              <w:rPr>
                <w:b w:val="0"/>
                <w:bCs/>
                <w:sz w:val="21"/>
                <w:szCs w:val="21"/>
              </w:rPr>
              <w:t>O</w:t>
            </w:r>
            <w:r>
              <w:rPr>
                <w:b w:val="0"/>
                <w:bCs/>
                <w:sz w:val="21"/>
                <w:szCs w:val="21"/>
                <w:vertAlign w:val="subscript"/>
              </w:rPr>
              <w:t>2</w:t>
            </w:r>
          </w:p>
        </w:tc>
        <w:tc>
          <w:tcPr>
            <w:tcW w:w="693" w:type="pct"/>
            <w:noWrap w:val="0"/>
            <w:vAlign w:val="top"/>
          </w:tcPr>
          <w:p>
            <w:pPr>
              <w:jc w:val="center"/>
              <w:rPr>
                <w:b w:val="0"/>
                <w:bCs/>
                <w:sz w:val="21"/>
                <w:szCs w:val="21"/>
              </w:rPr>
            </w:pPr>
            <w:r>
              <w:rPr>
                <w:b w:val="0"/>
                <w:bCs/>
                <w:sz w:val="21"/>
                <w:szCs w:val="21"/>
              </w:rPr>
              <w:t>C</w:t>
            </w:r>
            <w:r>
              <w:rPr>
                <w:b w:val="0"/>
                <w:bCs/>
                <w:sz w:val="21"/>
                <w:szCs w:val="21"/>
                <w:vertAlign w:val="subscript"/>
              </w:rPr>
              <w:t>a</w:t>
            </w:r>
            <w:r>
              <w:rPr>
                <w:b w:val="0"/>
                <w:bCs/>
                <w:sz w:val="21"/>
                <w:szCs w:val="21"/>
              </w:rPr>
              <w:t>O</w:t>
            </w:r>
          </w:p>
        </w:tc>
        <w:tc>
          <w:tcPr>
            <w:tcW w:w="732" w:type="pct"/>
            <w:noWrap w:val="0"/>
            <w:vAlign w:val="top"/>
          </w:tcPr>
          <w:p>
            <w:pPr>
              <w:jc w:val="center"/>
              <w:rPr>
                <w:b w:val="0"/>
                <w:bCs/>
                <w:sz w:val="21"/>
                <w:szCs w:val="21"/>
              </w:rPr>
            </w:pPr>
            <w:r>
              <w:rPr>
                <w:b w:val="0"/>
                <w:bCs/>
                <w:sz w:val="21"/>
                <w:szCs w:val="21"/>
              </w:rPr>
              <w:t>Fe</w:t>
            </w:r>
            <w:r>
              <w:rPr>
                <w:b w:val="0"/>
                <w:bCs/>
                <w:sz w:val="21"/>
                <w:szCs w:val="21"/>
                <w:vertAlign w:val="subscript"/>
              </w:rPr>
              <w:t>2</w:t>
            </w:r>
            <w:r>
              <w:rPr>
                <w:b w:val="0"/>
                <w:bCs/>
                <w:sz w:val="21"/>
                <w:szCs w:val="21"/>
              </w:rPr>
              <w:t>O</w:t>
            </w:r>
            <w:r>
              <w:rPr>
                <w:b w:val="0"/>
                <w:bCs/>
                <w:sz w:val="21"/>
                <w:szCs w:val="21"/>
                <w:vertAlign w:val="subscript"/>
              </w:rPr>
              <w:t>3</w:t>
            </w:r>
          </w:p>
        </w:tc>
        <w:tc>
          <w:tcPr>
            <w:tcW w:w="630" w:type="pct"/>
            <w:noWrap w:val="0"/>
            <w:vAlign w:val="top"/>
          </w:tcPr>
          <w:p>
            <w:pPr>
              <w:jc w:val="center"/>
              <w:rPr>
                <w:b w:val="0"/>
                <w:bCs/>
                <w:sz w:val="21"/>
                <w:szCs w:val="21"/>
              </w:rPr>
            </w:pPr>
            <w:r>
              <w:rPr>
                <w:b w:val="0"/>
                <w:bCs/>
                <w:sz w:val="21"/>
                <w:szCs w:val="21"/>
              </w:rPr>
              <w:t>Cr</w:t>
            </w:r>
            <w:r>
              <w:rPr>
                <w:b w:val="0"/>
                <w:bCs/>
                <w:sz w:val="21"/>
                <w:szCs w:val="21"/>
                <w:vertAlign w:val="subscript"/>
              </w:rPr>
              <w:t>2</w:t>
            </w:r>
            <w:r>
              <w:rPr>
                <w:b w:val="0"/>
                <w:bCs/>
                <w:sz w:val="21"/>
                <w:szCs w:val="21"/>
              </w:rPr>
              <w:t>O</w:t>
            </w:r>
            <w:r>
              <w:rPr>
                <w:b w:val="0"/>
                <w:bCs/>
                <w:sz w:val="21"/>
                <w:szCs w:val="21"/>
                <w:vertAlign w:val="subscript"/>
              </w:rPr>
              <w:t>3</w:t>
            </w:r>
          </w:p>
        </w:tc>
        <w:tc>
          <w:tcPr>
            <w:tcW w:w="547" w:type="pct"/>
            <w:noWrap w:val="0"/>
            <w:vAlign w:val="top"/>
          </w:tcPr>
          <w:p>
            <w:pPr>
              <w:jc w:val="center"/>
              <w:rPr>
                <w:b w:val="0"/>
                <w:bCs/>
                <w:sz w:val="21"/>
                <w:szCs w:val="21"/>
              </w:rPr>
            </w:pPr>
            <w:r>
              <w:rPr>
                <w:b w:val="0"/>
                <w:bCs/>
                <w:sz w:val="21"/>
                <w:szCs w:val="21"/>
              </w:rPr>
              <w:t>MgO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20" w:type="pct"/>
            <w:vMerge w:val="continue"/>
            <w:noWrap w:val="0"/>
            <w:vAlign w:val="top"/>
          </w:tcPr>
          <w:p>
            <w:pPr>
              <w:jc w:val="both"/>
              <w:rPr>
                <w:b w:val="0"/>
                <w:bCs/>
                <w:sz w:val="21"/>
                <w:szCs w:val="21"/>
              </w:rPr>
            </w:pPr>
          </w:p>
        </w:tc>
        <w:tc>
          <w:tcPr>
            <w:tcW w:w="781" w:type="pct"/>
            <w:noWrap w:val="0"/>
            <w:vAlign w:val="top"/>
          </w:tcPr>
          <w:p>
            <w:pPr>
              <w:jc w:val="center"/>
              <w:rPr>
                <w:rFonts w:hint="default" w:eastAsia="宋体"/>
                <w:b w:val="0"/>
                <w:bCs/>
                <w:sz w:val="21"/>
                <w:szCs w:val="21"/>
                <w:lang w:val="en-US" w:eastAsia="zh-CN"/>
              </w:rPr>
            </w:pPr>
            <w:r>
              <w:rPr>
                <w:b w:val="0"/>
                <w:bCs/>
                <w:sz w:val="21"/>
                <w:szCs w:val="21"/>
              </w:rPr>
              <w:t>≥</w:t>
            </w:r>
            <w:r>
              <w:rPr>
                <w:rFonts w:hint="eastAsia"/>
                <w:b w:val="0"/>
                <w:bCs/>
                <w:sz w:val="21"/>
                <w:szCs w:val="21"/>
                <w:lang w:val="en-US" w:eastAsia="zh-CN"/>
              </w:rPr>
              <w:t>63</w:t>
            </w:r>
          </w:p>
        </w:tc>
        <w:tc>
          <w:tcPr>
            <w:tcW w:w="693" w:type="pct"/>
            <w:noWrap w:val="0"/>
            <w:vAlign w:val="top"/>
          </w:tcPr>
          <w:p>
            <w:pPr>
              <w:jc w:val="center"/>
              <w:rPr>
                <w:rFonts w:hint="eastAsia" w:eastAsia="宋体"/>
                <w:b w:val="0"/>
                <w:bCs/>
                <w:sz w:val="21"/>
                <w:szCs w:val="21"/>
                <w:lang w:val="en-US" w:eastAsia="zh-CN"/>
              </w:rPr>
            </w:pPr>
            <w:r>
              <w:rPr>
                <w:b w:val="0"/>
                <w:bCs/>
                <w:sz w:val="21"/>
                <w:szCs w:val="21"/>
              </w:rPr>
              <w:t>≥</w:t>
            </w:r>
            <w:r>
              <w:rPr>
                <w:rFonts w:hint="eastAsia"/>
                <w:b w:val="0"/>
                <w:bCs/>
                <w:sz w:val="21"/>
                <w:szCs w:val="21"/>
                <w:lang w:val="en-US" w:eastAsia="zh-CN"/>
              </w:rPr>
              <w:t>3</w:t>
            </w:r>
          </w:p>
        </w:tc>
        <w:tc>
          <w:tcPr>
            <w:tcW w:w="693" w:type="pct"/>
            <w:noWrap w:val="0"/>
            <w:vAlign w:val="top"/>
          </w:tcPr>
          <w:p>
            <w:pPr>
              <w:jc w:val="center"/>
              <w:rPr>
                <w:b w:val="0"/>
                <w:bCs/>
                <w:sz w:val="21"/>
                <w:szCs w:val="21"/>
              </w:rPr>
            </w:pPr>
          </w:p>
        </w:tc>
        <w:tc>
          <w:tcPr>
            <w:tcW w:w="732" w:type="pct"/>
            <w:noWrap w:val="0"/>
            <w:vAlign w:val="top"/>
          </w:tcPr>
          <w:p>
            <w:pPr>
              <w:jc w:val="center"/>
              <w:rPr>
                <w:b w:val="0"/>
                <w:bCs/>
                <w:sz w:val="21"/>
                <w:szCs w:val="21"/>
              </w:rPr>
            </w:pPr>
            <w:r>
              <w:rPr>
                <w:b w:val="0"/>
                <w:bCs/>
                <w:sz w:val="21"/>
                <w:szCs w:val="21"/>
              </w:rPr>
              <w:t>≤0.03</w:t>
            </w:r>
          </w:p>
        </w:tc>
        <w:tc>
          <w:tcPr>
            <w:tcW w:w="630" w:type="pct"/>
            <w:noWrap w:val="0"/>
            <w:vAlign w:val="top"/>
          </w:tcPr>
          <w:p>
            <w:pPr>
              <w:jc w:val="center"/>
              <w:rPr>
                <w:b w:val="0"/>
                <w:bCs/>
                <w:sz w:val="21"/>
                <w:szCs w:val="21"/>
              </w:rPr>
            </w:pPr>
          </w:p>
        </w:tc>
        <w:tc>
          <w:tcPr>
            <w:tcW w:w="547" w:type="pct"/>
            <w:noWrap w:val="0"/>
            <w:vAlign w:val="top"/>
          </w:tcPr>
          <w:p>
            <w:pPr>
              <w:jc w:val="center"/>
              <w:rPr>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920" w:type="pct"/>
            <w:noWrap w:val="0"/>
            <w:vAlign w:val="top"/>
          </w:tcPr>
          <w:p>
            <w:pPr>
              <w:jc w:val="center"/>
              <w:rPr>
                <w:b w:val="0"/>
                <w:bCs/>
                <w:sz w:val="21"/>
                <w:szCs w:val="21"/>
              </w:rPr>
            </w:pPr>
          </w:p>
        </w:tc>
        <w:tc>
          <w:tcPr>
            <w:tcW w:w="1474" w:type="pct"/>
            <w:gridSpan w:val="2"/>
            <w:noWrap w:val="0"/>
            <w:vAlign w:val="top"/>
          </w:tcPr>
          <w:p>
            <w:pPr>
              <w:jc w:val="center"/>
              <w:rPr>
                <w:b w:val="0"/>
                <w:bCs/>
                <w:sz w:val="21"/>
                <w:szCs w:val="21"/>
              </w:rPr>
            </w:pPr>
            <w:r>
              <w:rPr>
                <w:rFonts w:hint="eastAsia"/>
                <w:b w:val="0"/>
                <w:bCs/>
                <w:sz w:val="21"/>
                <w:szCs w:val="21"/>
                <w:lang w:val="en-US" w:eastAsia="zh-CN"/>
              </w:rPr>
              <w:t>20</w:t>
            </w:r>
            <w:r>
              <w:rPr>
                <w:b w:val="0"/>
                <w:bCs/>
                <w:sz w:val="21"/>
                <w:szCs w:val="21"/>
              </w:rPr>
              <w:t>0℃×16h</w:t>
            </w:r>
          </w:p>
        </w:tc>
        <w:tc>
          <w:tcPr>
            <w:tcW w:w="1426" w:type="pct"/>
            <w:gridSpan w:val="2"/>
            <w:noWrap w:val="0"/>
            <w:vAlign w:val="top"/>
          </w:tcPr>
          <w:p>
            <w:pPr>
              <w:jc w:val="center"/>
              <w:rPr>
                <w:b w:val="0"/>
                <w:bCs/>
                <w:sz w:val="21"/>
                <w:szCs w:val="21"/>
              </w:rPr>
            </w:pPr>
            <w:r>
              <w:rPr>
                <w:rFonts w:hint="eastAsia"/>
                <w:b w:val="0"/>
                <w:bCs/>
                <w:sz w:val="21"/>
                <w:szCs w:val="21"/>
                <w:lang w:val="en-US" w:eastAsia="zh-CN"/>
              </w:rPr>
              <w:t>60</w:t>
            </w:r>
            <w:r>
              <w:rPr>
                <w:b w:val="0"/>
                <w:bCs/>
                <w:sz w:val="21"/>
                <w:szCs w:val="21"/>
              </w:rPr>
              <w:t>0℃×3h</w:t>
            </w:r>
          </w:p>
        </w:tc>
        <w:tc>
          <w:tcPr>
            <w:tcW w:w="1178" w:type="pct"/>
            <w:gridSpan w:val="2"/>
            <w:noWrap w:val="0"/>
            <w:vAlign w:val="top"/>
          </w:tcPr>
          <w:p>
            <w:pPr>
              <w:jc w:val="center"/>
              <w:rPr>
                <w:b w:val="0"/>
                <w:bCs/>
                <w:sz w:val="21"/>
                <w:szCs w:val="21"/>
              </w:rPr>
            </w:pPr>
            <w:r>
              <w:rPr>
                <w:b w:val="0"/>
                <w:bCs/>
                <w:sz w:val="21"/>
                <w:szCs w:val="21"/>
              </w:rPr>
              <w:t>1</w:t>
            </w:r>
            <w:r>
              <w:rPr>
                <w:rFonts w:hint="eastAsia"/>
                <w:b w:val="0"/>
                <w:bCs/>
                <w:sz w:val="21"/>
                <w:szCs w:val="21"/>
                <w:lang w:val="en-US" w:eastAsia="zh-CN"/>
              </w:rPr>
              <w:t>2</w:t>
            </w:r>
            <w:r>
              <w:rPr>
                <w:b w:val="0"/>
                <w:bCs/>
                <w:sz w:val="21"/>
                <w:szCs w:val="21"/>
              </w:rPr>
              <w:t>00℃×3h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20" w:type="pct"/>
            <w:noWrap w:val="0"/>
            <w:vAlign w:val="top"/>
          </w:tcPr>
          <w:p>
            <w:pPr>
              <w:jc w:val="center"/>
              <w:rPr>
                <w:b w:val="0"/>
                <w:bCs/>
                <w:sz w:val="21"/>
                <w:szCs w:val="21"/>
              </w:rPr>
            </w:pPr>
            <w:r>
              <w:rPr>
                <w:b w:val="0"/>
                <w:bCs/>
                <w:sz w:val="21"/>
                <w:szCs w:val="21"/>
              </w:rPr>
              <w:t>体积密度g/cm</w:t>
            </w:r>
            <w:r>
              <w:rPr>
                <w:b w:val="0"/>
                <w:bCs/>
                <w:sz w:val="21"/>
                <w:szCs w:val="21"/>
                <w:vertAlign w:val="superscript"/>
              </w:rPr>
              <w:t>3</w:t>
            </w:r>
          </w:p>
        </w:tc>
        <w:tc>
          <w:tcPr>
            <w:tcW w:w="1474" w:type="pct"/>
            <w:gridSpan w:val="2"/>
            <w:noWrap w:val="0"/>
            <w:vAlign w:val="top"/>
          </w:tcPr>
          <w:p>
            <w:pPr>
              <w:jc w:val="center"/>
              <w:rPr>
                <w:rFonts w:hint="default" w:eastAsia="宋体"/>
                <w:b w:val="0"/>
                <w:bCs/>
                <w:sz w:val="21"/>
                <w:szCs w:val="21"/>
                <w:lang w:val="en-US" w:eastAsia="zh-CN"/>
              </w:rPr>
            </w:pPr>
            <w:r>
              <w:rPr>
                <w:b w:val="0"/>
                <w:bCs/>
                <w:sz w:val="21"/>
                <w:szCs w:val="21"/>
              </w:rPr>
              <w:t>≥</w:t>
            </w:r>
            <w:r>
              <w:rPr>
                <w:rFonts w:hint="eastAsia"/>
                <w:b w:val="0"/>
                <w:bCs/>
                <w:sz w:val="21"/>
                <w:szCs w:val="21"/>
                <w:lang w:val="en-US" w:eastAsia="zh-CN"/>
              </w:rPr>
              <w:t>2.5</w:t>
            </w:r>
          </w:p>
        </w:tc>
        <w:tc>
          <w:tcPr>
            <w:tcW w:w="1426" w:type="pct"/>
            <w:gridSpan w:val="2"/>
            <w:noWrap w:val="0"/>
            <w:vAlign w:val="top"/>
          </w:tcPr>
          <w:p>
            <w:pPr>
              <w:jc w:val="center"/>
              <w:rPr>
                <w:rFonts w:hint="default"/>
                <w:b w:val="0"/>
                <w:bCs/>
                <w:sz w:val="21"/>
                <w:szCs w:val="21"/>
                <w:lang w:val="en-US"/>
              </w:rPr>
            </w:pPr>
            <w:r>
              <w:rPr>
                <w:b w:val="0"/>
                <w:bCs/>
                <w:sz w:val="21"/>
                <w:szCs w:val="21"/>
              </w:rPr>
              <w:t>≥</w:t>
            </w:r>
            <w:r>
              <w:rPr>
                <w:rFonts w:hint="eastAsia"/>
                <w:b w:val="0"/>
                <w:bCs/>
                <w:sz w:val="21"/>
                <w:szCs w:val="21"/>
                <w:lang w:val="en-US" w:eastAsia="zh-CN"/>
              </w:rPr>
              <w:t>2.4</w:t>
            </w:r>
          </w:p>
        </w:tc>
        <w:tc>
          <w:tcPr>
            <w:tcW w:w="1178" w:type="pct"/>
            <w:gridSpan w:val="2"/>
            <w:noWrap w:val="0"/>
            <w:vAlign w:val="top"/>
          </w:tcPr>
          <w:p>
            <w:pPr>
              <w:jc w:val="center"/>
              <w:rPr>
                <w:rFonts w:hint="default"/>
                <w:b w:val="0"/>
                <w:bCs/>
                <w:sz w:val="21"/>
                <w:szCs w:val="21"/>
                <w:lang w:val="en-US"/>
              </w:rPr>
            </w:pPr>
            <w:r>
              <w:rPr>
                <w:b w:val="0"/>
                <w:bCs/>
                <w:sz w:val="21"/>
                <w:szCs w:val="21"/>
              </w:rPr>
              <w:t>≥</w:t>
            </w:r>
            <w:r>
              <w:rPr>
                <w:rFonts w:hint="eastAsia"/>
                <w:b w:val="0"/>
                <w:bCs/>
                <w:sz w:val="21"/>
                <w:szCs w:val="21"/>
                <w:lang w:val="en-US" w:eastAsia="zh-CN"/>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20" w:type="pct"/>
            <w:noWrap w:val="0"/>
            <w:vAlign w:val="top"/>
          </w:tcPr>
          <w:p>
            <w:pPr>
              <w:jc w:val="center"/>
              <w:rPr>
                <w:b w:val="0"/>
                <w:bCs/>
                <w:sz w:val="21"/>
                <w:szCs w:val="21"/>
              </w:rPr>
            </w:pPr>
            <w:r>
              <w:rPr>
                <w:b w:val="0"/>
                <w:bCs/>
                <w:sz w:val="21"/>
                <w:szCs w:val="21"/>
              </w:rPr>
              <w:t>抗折强度MPa</w:t>
            </w:r>
          </w:p>
        </w:tc>
        <w:tc>
          <w:tcPr>
            <w:tcW w:w="1474" w:type="pct"/>
            <w:gridSpan w:val="2"/>
            <w:noWrap w:val="0"/>
            <w:vAlign w:val="top"/>
          </w:tcPr>
          <w:p>
            <w:pPr>
              <w:jc w:val="center"/>
              <w:rPr>
                <w:rFonts w:hint="eastAsia" w:eastAsia="宋体"/>
                <w:b w:val="0"/>
                <w:bCs/>
                <w:sz w:val="21"/>
                <w:szCs w:val="21"/>
                <w:lang w:val="en-US" w:eastAsia="zh-CN"/>
              </w:rPr>
            </w:pPr>
            <w:r>
              <w:rPr>
                <w:b w:val="0"/>
                <w:bCs/>
                <w:sz w:val="21"/>
                <w:szCs w:val="21"/>
              </w:rPr>
              <w:t>≥</w:t>
            </w:r>
            <w:r>
              <w:rPr>
                <w:rFonts w:hint="eastAsia"/>
                <w:b w:val="0"/>
                <w:bCs/>
                <w:sz w:val="21"/>
                <w:szCs w:val="21"/>
                <w:lang w:val="en-US" w:eastAsia="zh-CN"/>
              </w:rPr>
              <w:t>6</w:t>
            </w:r>
          </w:p>
        </w:tc>
        <w:tc>
          <w:tcPr>
            <w:tcW w:w="1426" w:type="pct"/>
            <w:gridSpan w:val="2"/>
            <w:noWrap w:val="0"/>
            <w:vAlign w:val="top"/>
          </w:tcPr>
          <w:p>
            <w:pPr>
              <w:jc w:val="center"/>
              <w:rPr>
                <w:rFonts w:hint="eastAsia" w:eastAsia="宋体"/>
                <w:b w:val="0"/>
                <w:bCs/>
                <w:sz w:val="21"/>
                <w:szCs w:val="21"/>
                <w:lang w:val="en-US" w:eastAsia="zh-CN"/>
              </w:rPr>
            </w:pPr>
            <w:r>
              <w:rPr>
                <w:b w:val="0"/>
                <w:bCs/>
                <w:sz w:val="21"/>
                <w:szCs w:val="21"/>
              </w:rPr>
              <w:t>≥</w:t>
            </w:r>
            <w:r>
              <w:rPr>
                <w:rFonts w:hint="eastAsia"/>
                <w:b w:val="0"/>
                <w:bCs/>
                <w:sz w:val="21"/>
                <w:szCs w:val="21"/>
                <w:lang w:val="en-US" w:eastAsia="zh-CN"/>
              </w:rPr>
              <w:t>7</w:t>
            </w:r>
          </w:p>
        </w:tc>
        <w:tc>
          <w:tcPr>
            <w:tcW w:w="1178" w:type="pct"/>
            <w:gridSpan w:val="2"/>
            <w:noWrap w:val="0"/>
            <w:vAlign w:val="top"/>
          </w:tcPr>
          <w:p>
            <w:pPr>
              <w:jc w:val="center"/>
              <w:rPr>
                <w:rFonts w:hint="eastAsia" w:eastAsia="宋体"/>
                <w:b w:val="0"/>
                <w:bCs/>
                <w:sz w:val="21"/>
                <w:szCs w:val="21"/>
                <w:lang w:val="en-US" w:eastAsia="zh-CN"/>
              </w:rPr>
            </w:pPr>
            <w:r>
              <w:rPr>
                <w:b w:val="0"/>
                <w:bCs/>
                <w:sz w:val="21"/>
                <w:szCs w:val="21"/>
              </w:rPr>
              <w:t>≥</w:t>
            </w:r>
            <w:r>
              <w:rPr>
                <w:rFonts w:hint="eastAsia"/>
                <w:b w:val="0"/>
                <w:bCs/>
                <w:sz w:val="21"/>
                <w:szCs w:val="21"/>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394" w:type="pct"/>
            <w:gridSpan w:val="3"/>
            <w:noWrap w:val="0"/>
            <w:vAlign w:val="top"/>
          </w:tcPr>
          <w:p>
            <w:pPr>
              <w:jc w:val="center"/>
              <w:rPr>
                <w:b w:val="0"/>
                <w:bCs/>
                <w:sz w:val="21"/>
                <w:szCs w:val="21"/>
              </w:rPr>
            </w:pPr>
            <w:r>
              <w:rPr>
                <w:b w:val="0"/>
                <w:bCs/>
                <w:sz w:val="21"/>
                <w:szCs w:val="21"/>
              </w:rPr>
              <w:t>耐火度  ℃</w:t>
            </w:r>
          </w:p>
        </w:tc>
        <w:tc>
          <w:tcPr>
            <w:tcW w:w="1426" w:type="pct"/>
            <w:gridSpan w:val="2"/>
            <w:noWrap w:val="0"/>
            <w:vAlign w:val="top"/>
          </w:tcPr>
          <w:p>
            <w:pPr>
              <w:jc w:val="center"/>
              <w:rPr>
                <w:b w:val="0"/>
                <w:bCs/>
                <w:sz w:val="21"/>
                <w:szCs w:val="21"/>
              </w:rPr>
            </w:pPr>
            <w:r>
              <w:rPr>
                <w:b w:val="0"/>
                <w:bCs/>
                <w:sz w:val="21"/>
                <w:szCs w:val="21"/>
              </w:rPr>
              <w:t>≥1</w:t>
            </w:r>
            <w:r>
              <w:rPr>
                <w:rFonts w:hint="eastAsia"/>
                <w:b w:val="0"/>
                <w:bCs/>
                <w:sz w:val="21"/>
                <w:szCs w:val="21"/>
                <w:lang w:val="en-US" w:eastAsia="zh-CN"/>
              </w:rPr>
              <w:t>5</w:t>
            </w:r>
            <w:r>
              <w:rPr>
                <w:b w:val="0"/>
                <w:bCs/>
                <w:sz w:val="21"/>
                <w:szCs w:val="21"/>
              </w:rPr>
              <w:t>80</w:t>
            </w:r>
          </w:p>
        </w:tc>
        <w:tc>
          <w:tcPr>
            <w:tcW w:w="1178" w:type="pct"/>
            <w:gridSpan w:val="2"/>
            <w:noWrap w:val="0"/>
            <w:vAlign w:val="top"/>
          </w:tcPr>
          <w:p>
            <w:pPr>
              <w:jc w:val="center"/>
              <w:rPr>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394" w:type="pct"/>
            <w:gridSpan w:val="3"/>
            <w:noWrap w:val="0"/>
            <w:vAlign w:val="top"/>
          </w:tcPr>
          <w:p>
            <w:pPr>
              <w:jc w:val="center"/>
              <w:rPr>
                <w:b w:val="0"/>
                <w:bCs/>
                <w:sz w:val="21"/>
                <w:szCs w:val="21"/>
              </w:rPr>
            </w:pPr>
            <w:r>
              <w:rPr>
                <w:b w:val="0"/>
                <w:bCs/>
                <w:sz w:val="21"/>
                <w:szCs w:val="21"/>
              </w:rPr>
              <w:t>荷重软化温度 ℃</w:t>
            </w:r>
          </w:p>
        </w:tc>
        <w:tc>
          <w:tcPr>
            <w:tcW w:w="1426" w:type="pct"/>
            <w:gridSpan w:val="2"/>
            <w:noWrap w:val="0"/>
            <w:vAlign w:val="top"/>
          </w:tcPr>
          <w:p>
            <w:pPr>
              <w:jc w:val="center"/>
              <w:rPr>
                <w:b w:val="0"/>
                <w:bCs/>
                <w:sz w:val="21"/>
                <w:szCs w:val="21"/>
              </w:rPr>
            </w:pPr>
            <w:r>
              <w:rPr>
                <w:b w:val="0"/>
                <w:bCs/>
                <w:sz w:val="21"/>
                <w:szCs w:val="21"/>
              </w:rPr>
              <w:t>≥1</w:t>
            </w:r>
            <w:r>
              <w:rPr>
                <w:rFonts w:hint="eastAsia"/>
                <w:b w:val="0"/>
                <w:bCs/>
                <w:sz w:val="21"/>
                <w:szCs w:val="21"/>
                <w:lang w:val="en-US" w:eastAsia="zh-CN"/>
              </w:rPr>
              <w:t>6</w:t>
            </w:r>
            <w:r>
              <w:rPr>
                <w:b w:val="0"/>
                <w:bCs/>
                <w:sz w:val="21"/>
                <w:szCs w:val="21"/>
              </w:rPr>
              <w:t>50</w:t>
            </w:r>
          </w:p>
        </w:tc>
        <w:tc>
          <w:tcPr>
            <w:tcW w:w="1178" w:type="pct"/>
            <w:gridSpan w:val="2"/>
            <w:noWrap w:val="0"/>
            <w:vAlign w:val="top"/>
          </w:tcPr>
          <w:p>
            <w:pPr>
              <w:jc w:val="center"/>
              <w:rPr>
                <w:b w:val="0"/>
                <w:bCs/>
                <w:sz w:val="21"/>
                <w:szCs w:val="21"/>
              </w:rPr>
            </w:pPr>
          </w:p>
        </w:tc>
      </w:tr>
    </w:tbl>
    <w:p>
      <w:pPr>
        <w:numPr>
          <w:ilvl w:val="0"/>
          <w:numId w:val="2"/>
        </w:numPr>
        <w:tabs>
          <w:tab w:val="left" w:pos="540"/>
        </w:tabs>
        <w:spacing w:line="312" w:lineRule="auto"/>
        <w:ind w:left="0" w:leftChars="0" w:firstLine="0" w:firstLineChars="0"/>
        <w:rPr>
          <w:rFonts w:hint="eastAsia" w:ascii="宋体" w:hAnsi="宋体"/>
          <w:b/>
          <w:bCs/>
          <w:color w:val="auto"/>
          <w:sz w:val="24"/>
          <w:lang w:val="en-US" w:eastAsia="zh-CN"/>
        </w:rPr>
      </w:pPr>
      <w:r>
        <w:rPr>
          <w:rFonts w:hint="eastAsia" w:ascii="宋体" w:hAnsi="宋体"/>
          <w:b/>
          <w:bCs/>
          <w:color w:val="auto"/>
          <w:sz w:val="24"/>
          <w:lang w:val="en-US" w:eastAsia="zh-CN"/>
        </w:rPr>
        <w:t>刚玉浇注料理化指标</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2"/>
        <w:gridCol w:w="1539"/>
        <w:gridCol w:w="1365"/>
        <w:gridCol w:w="1365"/>
        <w:gridCol w:w="1444"/>
        <w:gridCol w:w="1241"/>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00" w:type="pct"/>
            <w:gridSpan w:val="7"/>
            <w:noWrap w:val="0"/>
            <w:vAlign w:val="top"/>
          </w:tcPr>
          <w:p>
            <w:pPr>
              <w:jc w:val="center"/>
              <w:rPr>
                <w:b w:val="0"/>
                <w:bCs/>
                <w:sz w:val="21"/>
                <w:szCs w:val="21"/>
              </w:rPr>
            </w:pPr>
            <w:r>
              <w:rPr>
                <w:b w:val="0"/>
                <w:bCs/>
                <w:sz w:val="21"/>
                <w:szCs w:val="21"/>
              </w:rPr>
              <w:t>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20" w:type="pct"/>
            <w:vMerge w:val="restart"/>
            <w:noWrap w:val="0"/>
            <w:vAlign w:val="center"/>
          </w:tcPr>
          <w:p>
            <w:pPr>
              <w:jc w:val="center"/>
              <w:rPr>
                <w:b w:val="0"/>
                <w:bCs/>
                <w:sz w:val="21"/>
                <w:szCs w:val="21"/>
              </w:rPr>
            </w:pPr>
            <w:r>
              <w:rPr>
                <w:b w:val="0"/>
                <w:bCs/>
                <w:sz w:val="21"/>
                <w:szCs w:val="21"/>
              </w:rPr>
              <w:t>化学成分%</w:t>
            </w:r>
          </w:p>
        </w:tc>
        <w:tc>
          <w:tcPr>
            <w:tcW w:w="781" w:type="pct"/>
            <w:noWrap w:val="0"/>
            <w:vAlign w:val="top"/>
          </w:tcPr>
          <w:p>
            <w:pPr>
              <w:jc w:val="center"/>
              <w:rPr>
                <w:b w:val="0"/>
                <w:bCs/>
                <w:sz w:val="21"/>
                <w:szCs w:val="21"/>
              </w:rPr>
            </w:pPr>
            <w:r>
              <w:rPr>
                <w:b w:val="0"/>
                <w:bCs/>
                <w:sz w:val="21"/>
                <w:szCs w:val="21"/>
              </w:rPr>
              <w:t>AL</w:t>
            </w:r>
            <w:r>
              <w:rPr>
                <w:b w:val="0"/>
                <w:bCs/>
                <w:sz w:val="21"/>
                <w:szCs w:val="21"/>
                <w:vertAlign w:val="subscript"/>
              </w:rPr>
              <w:t>2</w:t>
            </w:r>
            <w:r>
              <w:rPr>
                <w:b w:val="0"/>
                <w:bCs/>
                <w:sz w:val="21"/>
                <w:szCs w:val="21"/>
              </w:rPr>
              <w:t>O</w:t>
            </w:r>
            <w:r>
              <w:rPr>
                <w:b w:val="0"/>
                <w:bCs/>
                <w:sz w:val="21"/>
                <w:szCs w:val="21"/>
                <w:vertAlign w:val="subscript"/>
              </w:rPr>
              <w:t>3</w:t>
            </w:r>
          </w:p>
        </w:tc>
        <w:tc>
          <w:tcPr>
            <w:tcW w:w="693" w:type="pct"/>
            <w:noWrap w:val="0"/>
            <w:vAlign w:val="top"/>
          </w:tcPr>
          <w:p>
            <w:pPr>
              <w:jc w:val="center"/>
              <w:rPr>
                <w:b w:val="0"/>
                <w:bCs/>
                <w:sz w:val="21"/>
                <w:szCs w:val="21"/>
              </w:rPr>
            </w:pPr>
            <w:r>
              <w:rPr>
                <w:b w:val="0"/>
                <w:bCs/>
                <w:sz w:val="21"/>
                <w:szCs w:val="21"/>
              </w:rPr>
              <w:t>S</w:t>
            </w:r>
            <w:r>
              <w:rPr>
                <w:b w:val="0"/>
                <w:bCs/>
                <w:sz w:val="21"/>
                <w:szCs w:val="21"/>
                <w:vertAlign w:val="subscript"/>
              </w:rPr>
              <w:t>I</w:t>
            </w:r>
            <w:r>
              <w:rPr>
                <w:b w:val="0"/>
                <w:bCs/>
                <w:sz w:val="21"/>
                <w:szCs w:val="21"/>
              </w:rPr>
              <w:t>O</w:t>
            </w:r>
            <w:r>
              <w:rPr>
                <w:b w:val="0"/>
                <w:bCs/>
                <w:sz w:val="21"/>
                <w:szCs w:val="21"/>
                <w:vertAlign w:val="subscript"/>
              </w:rPr>
              <w:t>2</w:t>
            </w:r>
          </w:p>
        </w:tc>
        <w:tc>
          <w:tcPr>
            <w:tcW w:w="693" w:type="pct"/>
            <w:noWrap w:val="0"/>
            <w:vAlign w:val="top"/>
          </w:tcPr>
          <w:p>
            <w:pPr>
              <w:jc w:val="center"/>
              <w:rPr>
                <w:b w:val="0"/>
                <w:bCs/>
                <w:sz w:val="21"/>
                <w:szCs w:val="21"/>
              </w:rPr>
            </w:pPr>
            <w:r>
              <w:rPr>
                <w:b w:val="0"/>
                <w:bCs/>
                <w:sz w:val="21"/>
                <w:szCs w:val="21"/>
              </w:rPr>
              <w:t>C</w:t>
            </w:r>
            <w:r>
              <w:rPr>
                <w:b w:val="0"/>
                <w:bCs/>
                <w:sz w:val="21"/>
                <w:szCs w:val="21"/>
                <w:vertAlign w:val="subscript"/>
              </w:rPr>
              <w:t>a</w:t>
            </w:r>
            <w:r>
              <w:rPr>
                <w:b w:val="0"/>
                <w:bCs/>
                <w:sz w:val="21"/>
                <w:szCs w:val="21"/>
              </w:rPr>
              <w:t>O</w:t>
            </w:r>
          </w:p>
        </w:tc>
        <w:tc>
          <w:tcPr>
            <w:tcW w:w="732" w:type="pct"/>
            <w:noWrap w:val="0"/>
            <w:vAlign w:val="top"/>
          </w:tcPr>
          <w:p>
            <w:pPr>
              <w:jc w:val="center"/>
              <w:rPr>
                <w:b w:val="0"/>
                <w:bCs/>
                <w:sz w:val="21"/>
                <w:szCs w:val="21"/>
              </w:rPr>
            </w:pPr>
            <w:r>
              <w:rPr>
                <w:b w:val="0"/>
                <w:bCs/>
                <w:sz w:val="21"/>
                <w:szCs w:val="21"/>
              </w:rPr>
              <w:t>Fe</w:t>
            </w:r>
            <w:r>
              <w:rPr>
                <w:b w:val="0"/>
                <w:bCs/>
                <w:sz w:val="21"/>
                <w:szCs w:val="21"/>
                <w:vertAlign w:val="subscript"/>
              </w:rPr>
              <w:t>2</w:t>
            </w:r>
            <w:r>
              <w:rPr>
                <w:b w:val="0"/>
                <w:bCs/>
                <w:sz w:val="21"/>
                <w:szCs w:val="21"/>
              </w:rPr>
              <w:t>O</w:t>
            </w:r>
            <w:r>
              <w:rPr>
                <w:b w:val="0"/>
                <w:bCs/>
                <w:sz w:val="21"/>
                <w:szCs w:val="21"/>
                <w:vertAlign w:val="subscript"/>
              </w:rPr>
              <w:t>3</w:t>
            </w:r>
          </w:p>
        </w:tc>
        <w:tc>
          <w:tcPr>
            <w:tcW w:w="630" w:type="pct"/>
            <w:noWrap w:val="0"/>
            <w:vAlign w:val="top"/>
          </w:tcPr>
          <w:p>
            <w:pPr>
              <w:jc w:val="center"/>
              <w:rPr>
                <w:b w:val="0"/>
                <w:bCs/>
                <w:sz w:val="21"/>
                <w:szCs w:val="21"/>
              </w:rPr>
            </w:pPr>
            <w:r>
              <w:rPr>
                <w:b w:val="0"/>
                <w:bCs/>
                <w:sz w:val="21"/>
                <w:szCs w:val="21"/>
              </w:rPr>
              <w:t>Cr</w:t>
            </w:r>
            <w:r>
              <w:rPr>
                <w:b w:val="0"/>
                <w:bCs/>
                <w:sz w:val="21"/>
                <w:szCs w:val="21"/>
                <w:vertAlign w:val="subscript"/>
              </w:rPr>
              <w:t>2</w:t>
            </w:r>
            <w:r>
              <w:rPr>
                <w:b w:val="0"/>
                <w:bCs/>
                <w:sz w:val="21"/>
                <w:szCs w:val="21"/>
              </w:rPr>
              <w:t>O</w:t>
            </w:r>
            <w:r>
              <w:rPr>
                <w:b w:val="0"/>
                <w:bCs/>
                <w:sz w:val="21"/>
                <w:szCs w:val="21"/>
                <w:vertAlign w:val="subscript"/>
              </w:rPr>
              <w:t>3</w:t>
            </w:r>
          </w:p>
        </w:tc>
        <w:tc>
          <w:tcPr>
            <w:tcW w:w="547" w:type="pct"/>
            <w:noWrap w:val="0"/>
            <w:vAlign w:val="top"/>
          </w:tcPr>
          <w:p>
            <w:pPr>
              <w:jc w:val="center"/>
              <w:rPr>
                <w:b w:val="0"/>
                <w:bCs/>
                <w:sz w:val="21"/>
                <w:szCs w:val="21"/>
              </w:rPr>
            </w:pPr>
            <w:r>
              <w:rPr>
                <w:b w:val="0"/>
                <w:bCs/>
                <w:sz w:val="21"/>
                <w:szCs w:val="21"/>
              </w:rPr>
              <w:t>MgO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20" w:type="pct"/>
            <w:vMerge w:val="continue"/>
            <w:noWrap w:val="0"/>
            <w:vAlign w:val="top"/>
          </w:tcPr>
          <w:p>
            <w:pPr>
              <w:jc w:val="both"/>
              <w:rPr>
                <w:b w:val="0"/>
                <w:bCs/>
                <w:sz w:val="21"/>
                <w:szCs w:val="21"/>
              </w:rPr>
            </w:pPr>
          </w:p>
        </w:tc>
        <w:tc>
          <w:tcPr>
            <w:tcW w:w="781" w:type="pct"/>
            <w:noWrap w:val="0"/>
            <w:vAlign w:val="top"/>
          </w:tcPr>
          <w:p>
            <w:pPr>
              <w:jc w:val="center"/>
              <w:rPr>
                <w:rFonts w:hint="default" w:eastAsia="宋体"/>
                <w:b w:val="0"/>
                <w:bCs/>
                <w:sz w:val="21"/>
                <w:szCs w:val="21"/>
                <w:lang w:val="en-US" w:eastAsia="zh-CN"/>
              </w:rPr>
            </w:pPr>
            <w:r>
              <w:rPr>
                <w:b w:val="0"/>
                <w:bCs/>
                <w:sz w:val="21"/>
                <w:szCs w:val="21"/>
              </w:rPr>
              <w:t>≥</w:t>
            </w:r>
            <w:r>
              <w:rPr>
                <w:rFonts w:hint="eastAsia"/>
                <w:b w:val="0"/>
                <w:bCs/>
                <w:sz w:val="21"/>
                <w:szCs w:val="21"/>
                <w:lang w:val="en-US" w:eastAsia="zh-CN"/>
              </w:rPr>
              <w:t>80</w:t>
            </w:r>
          </w:p>
        </w:tc>
        <w:tc>
          <w:tcPr>
            <w:tcW w:w="693" w:type="pct"/>
            <w:noWrap w:val="0"/>
            <w:vAlign w:val="top"/>
          </w:tcPr>
          <w:p>
            <w:pPr>
              <w:jc w:val="center"/>
              <w:rPr>
                <w:rFonts w:hint="eastAsia" w:eastAsia="宋体"/>
                <w:b w:val="0"/>
                <w:bCs/>
                <w:sz w:val="21"/>
                <w:szCs w:val="21"/>
                <w:lang w:val="en-US" w:eastAsia="zh-CN"/>
              </w:rPr>
            </w:pPr>
          </w:p>
        </w:tc>
        <w:tc>
          <w:tcPr>
            <w:tcW w:w="693" w:type="pct"/>
            <w:noWrap w:val="0"/>
            <w:vAlign w:val="top"/>
          </w:tcPr>
          <w:p>
            <w:pPr>
              <w:jc w:val="center"/>
              <w:rPr>
                <w:b w:val="0"/>
                <w:bCs/>
                <w:sz w:val="21"/>
                <w:szCs w:val="21"/>
              </w:rPr>
            </w:pPr>
          </w:p>
        </w:tc>
        <w:tc>
          <w:tcPr>
            <w:tcW w:w="732" w:type="pct"/>
            <w:noWrap w:val="0"/>
            <w:vAlign w:val="top"/>
          </w:tcPr>
          <w:p>
            <w:pPr>
              <w:jc w:val="center"/>
              <w:rPr>
                <w:b w:val="0"/>
                <w:bCs/>
                <w:sz w:val="21"/>
                <w:szCs w:val="21"/>
              </w:rPr>
            </w:pPr>
            <w:r>
              <w:rPr>
                <w:b w:val="0"/>
                <w:bCs/>
                <w:sz w:val="21"/>
                <w:szCs w:val="21"/>
              </w:rPr>
              <w:t>≤0.03</w:t>
            </w:r>
          </w:p>
        </w:tc>
        <w:tc>
          <w:tcPr>
            <w:tcW w:w="630" w:type="pct"/>
            <w:noWrap w:val="0"/>
            <w:vAlign w:val="top"/>
          </w:tcPr>
          <w:p>
            <w:pPr>
              <w:jc w:val="center"/>
              <w:rPr>
                <w:rFonts w:hint="eastAsia" w:eastAsia="宋体"/>
                <w:b w:val="0"/>
                <w:bCs/>
                <w:sz w:val="21"/>
                <w:szCs w:val="21"/>
                <w:lang w:eastAsia="zh-CN"/>
              </w:rPr>
            </w:pPr>
          </w:p>
        </w:tc>
        <w:tc>
          <w:tcPr>
            <w:tcW w:w="547" w:type="pct"/>
            <w:noWrap w:val="0"/>
            <w:vAlign w:val="top"/>
          </w:tcPr>
          <w:p>
            <w:pPr>
              <w:jc w:val="center"/>
              <w:rPr>
                <w:rFonts w:hint="eastAsia" w:eastAsia="宋体"/>
                <w:b w:val="0"/>
                <w:bCs/>
                <w:sz w:val="21"/>
                <w:szCs w:val="21"/>
                <w:lang w:val="en-US" w:eastAsia="zh-CN"/>
              </w:rPr>
            </w:pPr>
            <w:r>
              <w:rPr>
                <w:b w:val="0"/>
                <w:bCs/>
                <w:sz w:val="21"/>
                <w:szCs w:val="21"/>
              </w:rPr>
              <w:t>≥</w:t>
            </w:r>
            <w:r>
              <w:rPr>
                <w:rFonts w:hint="eastAsia"/>
                <w:b w:val="0"/>
                <w:bCs/>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20" w:type="pct"/>
            <w:noWrap w:val="0"/>
            <w:vAlign w:val="top"/>
          </w:tcPr>
          <w:p>
            <w:pPr>
              <w:jc w:val="center"/>
              <w:rPr>
                <w:b w:val="0"/>
                <w:bCs/>
                <w:sz w:val="21"/>
                <w:szCs w:val="21"/>
              </w:rPr>
            </w:pPr>
          </w:p>
        </w:tc>
        <w:tc>
          <w:tcPr>
            <w:tcW w:w="1474" w:type="pct"/>
            <w:gridSpan w:val="2"/>
            <w:noWrap w:val="0"/>
            <w:vAlign w:val="top"/>
          </w:tcPr>
          <w:p>
            <w:pPr>
              <w:jc w:val="center"/>
              <w:rPr>
                <w:b w:val="0"/>
                <w:bCs/>
                <w:sz w:val="21"/>
                <w:szCs w:val="21"/>
              </w:rPr>
            </w:pPr>
            <w:r>
              <w:rPr>
                <w:rFonts w:hint="eastAsia"/>
                <w:b w:val="0"/>
                <w:bCs/>
                <w:sz w:val="21"/>
                <w:szCs w:val="21"/>
                <w:lang w:val="en-US" w:eastAsia="zh-CN"/>
              </w:rPr>
              <w:t>20</w:t>
            </w:r>
            <w:r>
              <w:rPr>
                <w:b w:val="0"/>
                <w:bCs/>
                <w:sz w:val="21"/>
                <w:szCs w:val="21"/>
              </w:rPr>
              <w:t>0℃×16h</w:t>
            </w:r>
          </w:p>
        </w:tc>
        <w:tc>
          <w:tcPr>
            <w:tcW w:w="1426" w:type="pct"/>
            <w:gridSpan w:val="2"/>
            <w:noWrap w:val="0"/>
            <w:vAlign w:val="top"/>
          </w:tcPr>
          <w:p>
            <w:pPr>
              <w:jc w:val="center"/>
              <w:rPr>
                <w:b w:val="0"/>
                <w:bCs/>
                <w:sz w:val="21"/>
                <w:szCs w:val="21"/>
              </w:rPr>
            </w:pPr>
            <w:r>
              <w:rPr>
                <w:rFonts w:hint="eastAsia"/>
                <w:b w:val="0"/>
                <w:bCs/>
                <w:sz w:val="21"/>
                <w:szCs w:val="21"/>
                <w:lang w:val="en-US" w:eastAsia="zh-CN"/>
              </w:rPr>
              <w:t>60</w:t>
            </w:r>
            <w:r>
              <w:rPr>
                <w:b w:val="0"/>
                <w:bCs/>
                <w:sz w:val="21"/>
                <w:szCs w:val="21"/>
              </w:rPr>
              <w:t>0℃×3h</w:t>
            </w:r>
          </w:p>
        </w:tc>
        <w:tc>
          <w:tcPr>
            <w:tcW w:w="1178" w:type="pct"/>
            <w:gridSpan w:val="2"/>
            <w:noWrap w:val="0"/>
            <w:vAlign w:val="top"/>
          </w:tcPr>
          <w:p>
            <w:pPr>
              <w:jc w:val="center"/>
              <w:rPr>
                <w:b w:val="0"/>
                <w:bCs/>
                <w:sz w:val="21"/>
                <w:szCs w:val="21"/>
              </w:rPr>
            </w:pPr>
            <w:r>
              <w:rPr>
                <w:b w:val="0"/>
                <w:bCs/>
                <w:sz w:val="21"/>
                <w:szCs w:val="21"/>
              </w:rPr>
              <w:t>1</w:t>
            </w:r>
            <w:r>
              <w:rPr>
                <w:rFonts w:hint="eastAsia"/>
                <w:b w:val="0"/>
                <w:bCs/>
                <w:sz w:val="21"/>
                <w:szCs w:val="21"/>
                <w:lang w:val="en-US" w:eastAsia="zh-CN"/>
              </w:rPr>
              <w:t>2</w:t>
            </w:r>
            <w:r>
              <w:rPr>
                <w:b w:val="0"/>
                <w:bCs/>
                <w:sz w:val="21"/>
                <w:szCs w:val="21"/>
              </w:rPr>
              <w:t>00℃×3h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20" w:type="pct"/>
            <w:noWrap w:val="0"/>
            <w:vAlign w:val="top"/>
          </w:tcPr>
          <w:p>
            <w:pPr>
              <w:jc w:val="center"/>
              <w:rPr>
                <w:b w:val="0"/>
                <w:bCs/>
                <w:sz w:val="21"/>
                <w:szCs w:val="21"/>
              </w:rPr>
            </w:pPr>
            <w:r>
              <w:rPr>
                <w:b w:val="0"/>
                <w:bCs/>
                <w:sz w:val="21"/>
                <w:szCs w:val="21"/>
              </w:rPr>
              <w:t>体积密度g/cm</w:t>
            </w:r>
            <w:r>
              <w:rPr>
                <w:b w:val="0"/>
                <w:bCs/>
                <w:sz w:val="21"/>
                <w:szCs w:val="21"/>
                <w:vertAlign w:val="superscript"/>
              </w:rPr>
              <w:t>3</w:t>
            </w:r>
          </w:p>
        </w:tc>
        <w:tc>
          <w:tcPr>
            <w:tcW w:w="1474" w:type="pct"/>
            <w:gridSpan w:val="2"/>
            <w:noWrap w:val="0"/>
            <w:vAlign w:val="top"/>
          </w:tcPr>
          <w:p>
            <w:pPr>
              <w:jc w:val="center"/>
              <w:rPr>
                <w:rFonts w:hint="default" w:eastAsia="宋体"/>
                <w:b w:val="0"/>
                <w:bCs/>
                <w:sz w:val="21"/>
                <w:szCs w:val="21"/>
                <w:lang w:val="en-US" w:eastAsia="zh-CN"/>
              </w:rPr>
            </w:pPr>
            <w:r>
              <w:rPr>
                <w:b w:val="0"/>
                <w:bCs/>
                <w:sz w:val="21"/>
                <w:szCs w:val="21"/>
              </w:rPr>
              <w:t>≥</w:t>
            </w:r>
            <w:r>
              <w:rPr>
                <w:rFonts w:hint="eastAsia"/>
                <w:b w:val="0"/>
                <w:bCs/>
                <w:sz w:val="21"/>
                <w:szCs w:val="21"/>
                <w:lang w:val="en-US" w:eastAsia="zh-CN"/>
              </w:rPr>
              <w:t>2.9</w:t>
            </w:r>
          </w:p>
        </w:tc>
        <w:tc>
          <w:tcPr>
            <w:tcW w:w="1426" w:type="pct"/>
            <w:gridSpan w:val="2"/>
            <w:noWrap w:val="0"/>
            <w:vAlign w:val="top"/>
          </w:tcPr>
          <w:p>
            <w:pPr>
              <w:jc w:val="center"/>
              <w:rPr>
                <w:rFonts w:hint="default"/>
                <w:b w:val="0"/>
                <w:bCs/>
                <w:sz w:val="21"/>
                <w:szCs w:val="21"/>
                <w:lang w:val="en-US"/>
              </w:rPr>
            </w:pPr>
          </w:p>
        </w:tc>
        <w:tc>
          <w:tcPr>
            <w:tcW w:w="1178" w:type="pct"/>
            <w:gridSpan w:val="2"/>
            <w:noWrap w:val="0"/>
            <w:vAlign w:val="top"/>
          </w:tcPr>
          <w:p>
            <w:pPr>
              <w:jc w:val="center"/>
              <w:rPr>
                <w:rFonts w:hint="default"/>
                <w:b w:val="0"/>
                <w:bCs/>
                <w:sz w:val="21"/>
                <w:szCs w:val="21"/>
                <w:lang w:val="en-US"/>
              </w:rPr>
            </w:pPr>
            <w:r>
              <w:rPr>
                <w:b w:val="0"/>
                <w:bCs/>
                <w:sz w:val="21"/>
                <w:szCs w:val="21"/>
              </w:rPr>
              <w:t>≥</w:t>
            </w:r>
            <w:r>
              <w:rPr>
                <w:rFonts w:hint="eastAsia"/>
                <w:b w:val="0"/>
                <w:bCs/>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20" w:type="pct"/>
            <w:noWrap w:val="0"/>
            <w:vAlign w:val="top"/>
          </w:tcPr>
          <w:p>
            <w:pPr>
              <w:jc w:val="center"/>
              <w:rPr>
                <w:b w:val="0"/>
                <w:bCs/>
                <w:sz w:val="21"/>
                <w:szCs w:val="21"/>
              </w:rPr>
            </w:pPr>
            <w:r>
              <w:rPr>
                <w:b w:val="0"/>
                <w:bCs/>
                <w:sz w:val="21"/>
                <w:szCs w:val="21"/>
              </w:rPr>
              <w:t>抗折强度MPa</w:t>
            </w:r>
          </w:p>
        </w:tc>
        <w:tc>
          <w:tcPr>
            <w:tcW w:w="1474" w:type="pct"/>
            <w:gridSpan w:val="2"/>
            <w:noWrap w:val="0"/>
            <w:vAlign w:val="top"/>
          </w:tcPr>
          <w:p>
            <w:pPr>
              <w:jc w:val="center"/>
              <w:rPr>
                <w:rFonts w:hint="eastAsia" w:eastAsia="宋体"/>
                <w:b w:val="0"/>
                <w:bCs/>
                <w:sz w:val="21"/>
                <w:szCs w:val="21"/>
                <w:lang w:val="en-US" w:eastAsia="zh-CN"/>
              </w:rPr>
            </w:pPr>
            <w:r>
              <w:rPr>
                <w:b w:val="0"/>
                <w:bCs/>
                <w:sz w:val="21"/>
                <w:szCs w:val="21"/>
              </w:rPr>
              <w:t>≥</w:t>
            </w:r>
            <w:r>
              <w:rPr>
                <w:rFonts w:hint="eastAsia"/>
                <w:b w:val="0"/>
                <w:bCs/>
                <w:sz w:val="21"/>
                <w:szCs w:val="21"/>
                <w:lang w:val="en-US" w:eastAsia="zh-CN"/>
              </w:rPr>
              <w:t>8</w:t>
            </w:r>
          </w:p>
        </w:tc>
        <w:tc>
          <w:tcPr>
            <w:tcW w:w="1426" w:type="pct"/>
            <w:gridSpan w:val="2"/>
            <w:noWrap w:val="0"/>
            <w:vAlign w:val="top"/>
          </w:tcPr>
          <w:p>
            <w:pPr>
              <w:jc w:val="center"/>
              <w:rPr>
                <w:rFonts w:hint="eastAsia" w:eastAsia="宋体"/>
                <w:b w:val="0"/>
                <w:bCs/>
                <w:sz w:val="21"/>
                <w:szCs w:val="21"/>
                <w:lang w:val="en-US" w:eastAsia="zh-CN"/>
              </w:rPr>
            </w:pPr>
          </w:p>
        </w:tc>
        <w:tc>
          <w:tcPr>
            <w:tcW w:w="1178" w:type="pct"/>
            <w:gridSpan w:val="2"/>
            <w:noWrap w:val="0"/>
            <w:vAlign w:val="top"/>
          </w:tcPr>
          <w:p>
            <w:pPr>
              <w:jc w:val="center"/>
              <w:rPr>
                <w:rFonts w:hint="default" w:eastAsia="宋体"/>
                <w:b w:val="0"/>
                <w:bCs/>
                <w:sz w:val="21"/>
                <w:szCs w:val="21"/>
                <w:lang w:val="en-US" w:eastAsia="zh-CN"/>
              </w:rPr>
            </w:pPr>
            <w:r>
              <w:rPr>
                <w:b w:val="0"/>
                <w:bCs/>
                <w:sz w:val="21"/>
                <w:szCs w:val="21"/>
              </w:rPr>
              <w:t>≥</w:t>
            </w:r>
            <w:r>
              <w:rPr>
                <w:rFonts w:hint="eastAsia"/>
                <w:b w:val="0"/>
                <w:bCs/>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394" w:type="pct"/>
            <w:gridSpan w:val="3"/>
            <w:noWrap w:val="0"/>
            <w:vAlign w:val="top"/>
          </w:tcPr>
          <w:p>
            <w:pPr>
              <w:jc w:val="center"/>
              <w:rPr>
                <w:b w:val="0"/>
                <w:bCs/>
                <w:sz w:val="21"/>
                <w:szCs w:val="21"/>
              </w:rPr>
            </w:pPr>
            <w:r>
              <w:rPr>
                <w:b w:val="0"/>
                <w:bCs/>
                <w:sz w:val="21"/>
                <w:szCs w:val="21"/>
              </w:rPr>
              <w:t>耐火度  ℃</w:t>
            </w:r>
          </w:p>
        </w:tc>
        <w:tc>
          <w:tcPr>
            <w:tcW w:w="1426" w:type="pct"/>
            <w:gridSpan w:val="2"/>
            <w:noWrap w:val="0"/>
            <w:vAlign w:val="top"/>
          </w:tcPr>
          <w:p>
            <w:pPr>
              <w:jc w:val="center"/>
              <w:rPr>
                <w:b w:val="0"/>
                <w:bCs/>
                <w:sz w:val="21"/>
                <w:szCs w:val="21"/>
              </w:rPr>
            </w:pPr>
            <w:r>
              <w:rPr>
                <w:b w:val="0"/>
                <w:bCs/>
                <w:sz w:val="21"/>
                <w:szCs w:val="21"/>
              </w:rPr>
              <w:t>≥1</w:t>
            </w:r>
            <w:r>
              <w:rPr>
                <w:rFonts w:hint="eastAsia"/>
                <w:b w:val="0"/>
                <w:bCs/>
                <w:sz w:val="21"/>
                <w:szCs w:val="21"/>
                <w:lang w:val="en-US" w:eastAsia="zh-CN"/>
              </w:rPr>
              <w:t>77</w:t>
            </w:r>
            <w:r>
              <w:rPr>
                <w:b w:val="0"/>
                <w:bCs/>
                <w:sz w:val="21"/>
                <w:szCs w:val="21"/>
              </w:rPr>
              <w:t>0</w:t>
            </w:r>
          </w:p>
        </w:tc>
        <w:tc>
          <w:tcPr>
            <w:tcW w:w="1178" w:type="pct"/>
            <w:gridSpan w:val="2"/>
            <w:noWrap w:val="0"/>
            <w:vAlign w:val="top"/>
          </w:tcPr>
          <w:p>
            <w:pPr>
              <w:jc w:val="center"/>
              <w:rPr>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394" w:type="pct"/>
            <w:gridSpan w:val="3"/>
            <w:noWrap w:val="0"/>
            <w:vAlign w:val="top"/>
          </w:tcPr>
          <w:p>
            <w:pPr>
              <w:jc w:val="center"/>
              <w:rPr>
                <w:b w:val="0"/>
                <w:bCs/>
                <w:sz w:val="21"/>
                <w:szCs w:val="21"/>
              </w:rPr>
            </w:pPr>
            <w:r>
              <w:rPr>
                <w:b w:val="0"/>
                <w:bCs/>
                <w:sz w:val="21"/>
                <w:szCs w:val="21"/>
              </w:rPr>
              <w:t>荷重软化温度 ℃</w:t>
            </w:r>
          </w:p>
        </w:tc>
        <w:tc>
          <w:tcPr>
            <w:tcW w:w="1426" w:type="pct"/>
            <w:gridSpan w:val="2"/>
            <w:noWrap w:val="0"/>
            <w:vAlign w:val="top"/>
          </w:tcPr>
          <w:p>
            <w:pPr>
              <w:jc w:val="center"/>
              <w:rPr>
                <w:b w:val="0"/>
                <w:bCs/>
                <w:sz w:val="21"/>
                <w:szCs w:val="21"/>
              </w:rPr>
            </w:pPr>
            <w:r>
              <w:rPr>
                <w:b w:val="0"/>
                <w:bCs/>
                <w:sz w:val="21"/>
                <w:szCs w:val="21"/>
              </w:rPr>
              <w:t>≥1</w:t>
            </w:r>
            <w:r>
              <w:rPr>
                <w:rFonts w:hint="eastAsia"/>
                <w:b w:val="0"/>
                <w:bCs/>
                <w:sz w:val="21"/>
                <w:szCs w:val="21"/>
                <w:lang w:val="en-US" w:eastAsia="zh-CN"/>
              </w:rPr>
              <w:t>7</w:t>
            </w:r>
            <w:r>
              <w:rPr>
                <w:b w:val="0"/>
                <w:bCs/>
                <w:sz w:val="21"/>
                <w:szCs w:val="21"/>
              </w:rPr>
              <w:t>50</w:t>
            </w:r>
          </w:p>
        </w:tc>
        <w:tc>
          <w:tcPr>
            <w:tcW w:w="1178" w:type="pct"/>
            <w:gridSpan w:val="2"/>
            <w:noWrap w:val="0"/>
            <w:vAlign w:val="top"/>
          </w:tcPr>
          <w:p>
            <w:pPr>
              <w:jc w:val="center"/>
              <w:rPr>
                <w:b w:val="0"/>
                <w:bCs/>
                <w:sz w:val="21"/>
                <w:szCs w:val="21"/>
              </w:rPr>
            </w:pPr>
          </w:p>
        </w:tc>
      </w:tr>
    </w:tbl>
    <w:p>
      <w:pPr>
        <w:numPr>
          <w:ilvl w:val="0"/>
          <w:numId w:val="0"/>
        </w:numPr>
        <w:tabs>
          <w:tab w:val="left" w:pos="540"/>
        </w:tabs>
        <w:spacing w:line="312" w:lineRule="auto"/>
        <w:ind w:leftChars="0"/>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附：每批物料厂家需提供质保书</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157" w:beforeLines="50" w:line="312" w:lineRule="auto"/>
        <w:ind w:leftChars="0"/>
        <w:textAlignment w:val="auto"/>
        <w:rPr>
          <w:rFonts w:hint="eastAsia" w:ascii="宋体" w:hAnsi="宋体"/>
          <w:b/>
          <w:bCs/>
          <w:color w:val="auto"/>
          <w:sz w:val="24"/>
        </w:rPr>
      </w:pPr>
      <w:r>
        <w:rPr>
          <w:rFonts w:hint="eastAsia" w:ascii="宋体" w:hAnsi="宋体"/>
          <w:b/>
          <w:bCs/>
          <w:color w:val="auto"/>
          <w:sz w:val="24"/>
          <w:lang w:eastAsia="zh-CN"/>
        </w:rPr>
        <w:t>三、钢包交接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0" w:leftChars="0" w:right="0" w:rightChars="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1.钢包永久层使用寿命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0" w:leftChars="0" w:right="0" w:rightChars="0" w:firstLine="420" w:firstLineChars="20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混砌钢包永久层使用次数为2000次。精炼钢包永久层为不超过10个钢包周期。</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0" w:leftChars="0" w:right="0" w:rightChars="0" w:firstLine="420" w:firstLineChars="20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当混砌钢包拆包后剩余永久层使用次数不足1个钢包使用周期次数（按协议最低使用次数执行）的，不在重新砌包，永久层直接拆除。若永久层使用次数为2000次时，钢包未到下线时，在达到协议要求的次数后，直接下线拆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right="0" w:rightChars="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2.永久层交接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0" w:leftChars="0" w:right="0" w:rightChars="0" w:firstLine="420" w:firstLineChars="20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混砌钢包永久层交接按拆除工作层后的净残值计算。精炼钢包按实际永久层净残值计算。业主部门和炉料部对永久层交接进行协调沟通。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0" w:leftChars="0" w:right="0" w:rightChars="0" w:firstLine="420" w:firstLineChars="20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混砌钢包交接金额=永久层总价值×未使用次数/规定使用次数</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0" w:leftChars="0" w:right="0" w:rightChars="0" w:firstLine="420" w:firstLineChars="20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精炼钢包交接金额=永久层总价值×未使用钢包周期/规定使用钢包周期</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0" w:leftChars="0" w:right="0" w:rightChars="0" w:firstLine="420" w:firstLineChars="20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备注：永久层总价值为市场吨价与净残值乘积。</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right="0" w:rightChars="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3.其他情况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0" w:leftChars="0" w:right="0" w:rightChars="0" w:firstLine="420" w:firstLineChars="20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若乙方估算的永久层总价值超过合理范围导致丙方无法接受影响钢包交接和业主部门生产的，业主部门可直接将钢包进行永久层拆除，损失由乙方承担；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0" w:leftChars="0" w:right="0" w:rightChars="0" w:firstLine="420" w:firstLineChars="20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若乙方估算的永久层总价值在合理范围，丙方需无条件接受，若仍不接受的，业主部门可直接将钢包进行永久层拆除，乙方出具盖公章的补偿说明，损失由丙方承担，具体在结算中扣除。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0" w:leftChars="0" w:right="0" w:rightChars="0" w:firstLine="420" w:firstLineChars="200"/>
        <w:jc w:val="both"/>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若乙方和丙方能达成其他不影响甲方钢包使用的钢包交接协议，可不执行此钢包交接条款。</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20" w:firstLineChars="200"/>
        <w:jc w:val="left"/>
        <w:textAlignment w:val="auto"/>
        <w:outlineLvl w:val="9"/>
        <w:rPr>
          <w:rFonts w:hint="eastAsia" w:ascii="宋体" w:hAnsi="宋体"/>
          <w:color w:val="auto"/>
          <w:kern w:val="0"/>
          <w:sz w:val="21"/>
          <w:szCs w:val="21"/>
          <w:u w:val="none" w:color="auto"/>
          <w:lang w:val="en-US" w:eastAsia="zh-CN" w:bidi="ar-SA"/>
        </w:rPr>
      </w:pPr>
      <w:r>
        <w:rPr>
          <w:rFonts w:hint="eastAsia" w:ascii="宋体" w:hAnsi="宋体"/>
          <w:color w:val="auto"/>
          <w:kern w:val="0"/>
          <w:sz w:val="21"/>
          <w:szCs w:val="21"/>
          <w:u w:val="none" w:color="auto"/>
          <w:lang w:val="en-US" w:eastAsia="zh-CN" w:bidi="ar-SA"/>
        </w:rPr>
        <w:t>备注：1.老承包方称乙方，新承包方称丙方。</w:t>
      </w:r>
    </w:p>
    <w:p>
      <w:pPr>
        <w:numPr>
          <w:ilvl w:val="0"/>
          <w:numId w:val="0"/>
        </w:numPr>
        <w:tabs>
          <w:tab w:val="left" w:pos="540"/>
        </w:tabs>
        <w:spacing w:line="312" w:lineRule="auto"/>
        <w:ind w:leftChars="0"/>
        <w:rPr>
          <w:rFonts w:hint="eastAsia" w:ascii="宋体" w:hAnsi="宋体"/>
          <w:b/>
          <w:bCs/>
          <w:color w:val="auto"/>
          <w:sz w:val="24"/>
        </w:rPr>
      </w:pPr>
    </w:p>
    <w:p>
      <w:pPr>
        <w:numPr>
          <w:ilvl w:val="0"/>
          <w:numId w:val="0"/>
        </w:numPr>
        <w:tabs>
          <w:tab w:val="left" w:pos="540"/>
        </w:tabs>
        <w:spacing w:line="312" w:lineRule="auto"/>
        <w:ind w:leftChars="0"/>
        <w:rPr>
          <w:rFonts w:hint="eastAsia" w:ascii="宋体" w:hAnsi="宋体"/>
          <w:b/>
          <w:bCs/>
          <w:color w:val="auto"/>
          <w:sz w:val="24"/>
        </w:rPr>
      </w:pPr>
      <w:r>
        <w:rPr>
          <w:rFonts w:hint="eastAsia" w:ascii="宋体" w:hAnsi="宋体"/>
          <w:b/>
          <w:bCs/>
          <w:color w:val="auto"/>
          <w:sz w:val="24"/>
          <w:lang w:eastAsia="zh-CN"/>
        </w:rPr>
        <w:t>四、考核</w:t>
      </w:r>
    </w:p>
    <w:p>
      <w:pPr>
        <w:numPr>
          <w:ilvl w:val="0"/>
          <w:numId w:val="3"/>
        </w:numPr>
        <w:tabs>
          <w:tab w:val="left" w:pos="540"/>
        </w:tabs>
        <w:spacing w:line="312" w:lineRule="auto"/>
        <w:ind w:leftChars="0"/>
        <w:rPr>
          <w:rFonts w:hint="eastAsia" w:ascii="宋体" w:hAnsi="宋体"/>
          <w:b/>
          <w:bCs/>
          <w:color w:val="auto"/>
          <w:sz w:val="24"/>
          <w:lang w:val="en-US" w:eastAsia="zh-CN"/>
        </w:rPr>
      </w:pPr>
      <w:r>
        <w:rPr>
          <w:rFonts w:hint="eastAsia" w:ascii="宋体" w:hAnsi="宋体"/>
          <w:b/>
          <w:bCs/>
          <w:color w:val="auto"/>
          <w:sz w:val="24"/>
          <w:lang w:val="en-US" w:eastAsia="zh-CN"/>
        </w:rPr>
        <w:t>事故考核</w:t>
      </w:r>
    </w:p>
    <w:p>
      <w:pPr>
        <w:numPr>
          <w:ilvl w:val="0"/>
          <w:numId w:val="0"/>
        </w:numPr>
        <w:tabs>
          <w:tab w:val="left" w:pos="540"/>
        </w:tabs>
        <w:spacing w:line="312" w:lineRule="auto"/>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事故类型分为钢壳发红、钢包穿包等。直接损失按以下标准考核，间接损失双方协商解决。</w:t>
      </w:r>
    </w:p>
    <w:tbl>
      <w:tblPr>
        <w:tblStyle w:val="7"/>
        <w:tblW w:w="4997" w:type="pct"/>
        <w:tblInd w:w="0" w:type="dxa"/>
        <w:tblLayout w:type="autofit"/>
        <w:tblCellMar>
          <w:top w:w="0" w:type="dxa"/>
          <w:left w:w="0" w:type="dxa"/>
          <w:bottom w:w="0" w:type="dxa"/>
          <w:right w:w="0" w:type="dxa"/>
        </w:tblCellMar>
      </w:tblPr>
      <w:tblGrid>
        <w:gridCol w:w="1734"/>
        <w:gridCol w:w="3711"/>
        <w:gridCol w:w="4217"/>
      </w:tblGrid>
      <w:tr>
        <w:tblPrEx>
          <w:tblCellMar>
            <w:top w:w="0" w:type="dxa"/>
            <w:left w:w="0" w:type="dxa"/>
            <w:bottom w:w="0" w:type="dxa"/>
            <w:right w:w="0" w:type="dxa"/>
          </w:tblCellMar>
        </w:tblPrEx>
        <w:trPr>
          <w:trHeight w:val="270" w:hRule="atLeast"/>
        </w:trPr>
        <w:tc>
          <w:tcPr>
            <w:tcW w:w="8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2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考核</w:t>
            </w:r>
          </w:p>
        </w:tc>
      </w:tr>
      <w:tr>
        <w:tblPrEx>
          <w:tblCellMar>
            <w:top w:w="0" w:type="dxa"/>
            <w:left w:w="0" w:type="dxa"/>
            <w:bottom w:w="0" w:type="dxa"/>
            <w:right w:w="0" w:type="dxa"/>
          </w:tblCellMar>
        </w:tblPrEx>
        <w:trPr>
          <w:trHeight w:val="270" w:hRule="atLeast"/>
        </w:trPr>
        <w:tc>
          <w:tcPr>
            <w:tcW w:w="8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非计划基础考核</w:t>
            </w:r>
          </w:p>
        </w:tc>
        <w:tc>
          <w:tcPr>
            <w:tcW w:w="2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5000/次</w:t>
            </w:r>
          </w:p>
        </w:tc>
      </w:tr>
      <w:tr>
        <w:tblPrEx>
          <w:tblCellMar>
            <w:top w:w="0" w:type="dxa"/>
            <w:left w:w="0" w:type="dxa"/>
            <w:bottom w:w="0" w:type="dxa"/>
            <w:right w:w="0" w:type="dxa"/>
          </w:tblCellMar>
        </w:tblPrEx>
        <w:trPr>
          <w:trHeight w:val="270" w:hRule="atLeast"/>
        </w:trPr>
        <w:tc>
          <w:tcPr>
            <w:tcW w:w="8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color w:val="000000"/>
                <w:kern w:val="0"/>
                <w:sz w:val="21"/>
                <w:szCs w:val="21"/>
                <w:u w:val="none"/>
                <w:lang w:val="en-US" w:eastAsia="zh-CN" w:bidi="ar"/>
              </w:rPr>
              <w:t>钢包余钢</w:t>
            </w:r>
          </w:p>
        </w:tc>
        <w:tc>
          <w:tcPr>
            <w:tcW w:w="2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1"/>
                <w:szCs w:val="21"/>
                <w:u w:val="none"/>
              </w:rPr>
            </w:pPr>
            <w:r>
              <w:rPr>
                <w:rFonts w:hint="eastAsia" w:ascii="宋体" w:hAnsi="宋体" w:eastAsia="宋体" w:cs="宋体"/>
                <w:i w:val="0"/>
                <w:color w:val="000000"/>
                <w:kern w:val="0"/>
                <w:sz w:val="21"/>
                <w:szCs w:val="21"/>
                <w:u w:val="none"/>
                <w:lang w:val="en-US" w:eastAsia="zh-CN" w:bidi="ar"/>
              </w:rPr>
              <w:t>700元/吨</w:t>
            </w:r>
          </w:p>
        </w:tc>
      </w:tr>
      <w:tr>
        <w:tblPrEx>
          <w:tblCellMar>
            <w:top w:w="0" w:type="dxa"/>
            <w:left w:w="0" w:type="dxa"/>
            <w:bottom w:w="0" w:type="dxa"/>
            <w:right w:w="0" w:type="dxa"/>
          </w:tblCellMar>
        </w:tblPrEx>
        <w:trPr>
          <w:trHeight w:val="270" w:hRule="atLeast"/>
        </w:trPr>
        <w:tc>
          <w:tcPr>
            <w:tcW w:w="8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非计划影响时间</w:t>
            </w:r>
          </w:p>
        </w:tc>
        <w:tc>
          <w:tcPr>
            <w:tcW w:w="2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50元/分钟</w:t>
            </w:r>
          </w:p>
        </w:tc>
      </w:tr>
      <w:tr>
        <w:tblPrEx>
          <w:tblCellMar>
            <w:top w:w="0" w:type="dxa"/>
            <w:left w:w="0" w:type="dxa"/>
            <w:bottom w:w="0" w:type="dxa"/>
            <w:right w:w="0" w:type="dxa"/>
          </w:tblCellMar>
        </w:tblPrEx>
        <w:trPr>
          <w:trHeight w:val="270" w:hRule="atLeast"/>
        </w:trPr>
        <w:tc>
          <w:tcPr>
            <w:tcW w:w="8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回炉</w:t>
            </w:r>
          </w:p>
        </w:tc>
        <w:tc>
          <w:tcPr>
            <w:tcW w:w="2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700元/吨</w:t>
            </w:r>
          </w:p>
        </w:tc>
      </w:tr>
      <w:tr>
        <w:tblPrEx>
          <w:tblCellMar>
            <w:top w:w="0" w:type="dxa"/>
            <w:left w:w="0" w:type="dxa"/>
            <w:bottom w:w="0" w:type="dxa"/>
            <w:right w:w="0" w:type="dxa"/>
          </w:tblCellMar>
        </w:tblPrEx>
        <w:trPr>
          <w:trHeight w:val="270" w:hRule="atLeast"/>
        </w:trPr>
        <w:tc>
          <w:tcPr>
            <w:tcW w:w="8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倒包</w:t>
            </w:r>
          </w:p>
        </w:tc>
        <w:tc>
          <w:tcPr>
            <w:tcW w:w="2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200元/吨</w:t>
            </w:r>
          </w:p>
        </w:tc>
      </w:tr>
      <w:tr>
        <w:tblPrEx>
          <w:tblCellMar>
            <w:top w:w="0" w:type="dxa"/>
            <w:left w:w="0" w:type="dxa"/>
            <w:bottom w:w="0" w:type="dxa"/>
            <w:right w:w="0" w:type="dxa"/>
          </w:tblCellMar>
        </w:tblPrEx>
        <w:trPr>
          <w:trHeight w:val="270" w:hRule="atLeast"/>
        </w:trPr>
        <w:tc>
          <w:tcPr>
            <w:tcW w:w="8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设备损失</w:t>
            </w:r>
          </w:p>
        </w:tc>
        <w:tc>
          <w:tcPr>
            <w:tcW w:w="2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维修或照价赔偿</w:t>
            </w:r>
          </w:p>
        </w:tc>
      </w:tr>
      <w:tr>
        <w:tblPrEx>
          <w:tblCellMar>
            <w:top w:w="0" w:type="dxa"/>
            <w:left w:w="0" w:type="dxa"/>
            <w:bottom w:w="0" w:type="dxa"/>
            <w:right w:w="0" w:type="dxa"/>
          </w:tblCellMar>
        </w:tblPrEx>
        <w:trPr>
          <w:trHeight w:val="270" w:hRule="atLeast"/>
        </w:trPr>
        <w:tc>
          <w:tcPr>
            <w:tcW w:w="8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9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安全问题</w:t>
            </w:r>
          </w:p>
        </w:tc>
        <w:tc>
          <w:tcPr>
            <w:tcW w:w="21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按甲方安全制度考核</w:t>
            </w:r>
          </w:p>
        </w:tc>
      </w:tr>
    </w:tbl>
    <w:p>
      <w:pPr>
        <w:numPr>
          <w:ilvl w:val="0"/>
          <w:numId w:val="0"/>
        </w:numPr>
        <w:tabs>
          <w:tab w:val="left" w:pos="540"/>
        </w:tabs>
        <w:spacing w:line="312" w:lineRule="auto"/>
        <w:rPr>
          <w:rFonts w:hint="eastAsia" w:ascii="宋体" w:hAnsi="宋体"/>
          <w:b/>
          <w:bCs/>
          <w:color w:val="auto"/>
          <w:sz w:val="24"/>
          <w:lang w:val="en-US" w:eastAsia="zh-CN"/>
        </w:rPr>
      </w:pPr>
    </w:p>
    <w:p>
      <w:pPr>
        <w:numPr>
          <w:ilvl w:val="0"/>
          <w:numId w:val="3"/>
        </w:numPr>
        <w:tabs>
          <w:tab w:val="left" w:pos="540"/>
        </w:tabs>
        <w:spacing w:line="312" w:lineRule="auto"/>
        <w:ind w:leftChars="0"/>
        <w:rPr>
          <w:rFonts w:hint="eastAsia" w:ascii="宋体" w:hAnsi="宋体"/>
          <w:b/>
          <w:bCs/>
          <w:color w:val="auto"/>
          <w:sz w:val="24"/>
          <w:lang w:val="en-US" w:eastAsia="zh-CN"/>
        </w:rPr>
      </w:pPr>
      <w:r>
        <w:rPr>
          <w:rFonts w:hint="eastAsia" w:ascii="宋体" w:hAnsi="宋体"/>
          <w:b/>
          <w:bCs/>
          <w:color w:val="auto"/>
          <w:sz w:val="24"/>
          <w:lang w:val="en-US" w:eastAsia="zh-CN"/>
        </w:rPr>
        <w:t>技术考核</w:t>
      </w:r>
    </w:p>
    <w:tbl>
      <w:tblPr>
        <w:tblStyle w:val="7"/>
        <w:tblW w:w="4995" w:type="pct"/>
        <w:tblInd w:w="0" w:type="dxa"/>
        <w:tblLayout w:type="autofit"/>
        <w:tblCellMar>
          <w:top w:w="0" w:type="dxa"/>
          <w:left w:w="0" w:type="dxa"/>
          <w:bottom w:w="0" w:type="dxa"/>
          <w:right w:w="0" w:type="dxa"/>
        </w:tblCellMar>
      </w:tblPr>
      <w:tblGrid>
        <w:gridCol w:w="717"/>
        <w:gridCol w:w="960"/>
        <w:gridCol w:w="2541"/>
        <w:gridCol w:w="5440"/>
      </w:tblGrid>
      <w:tr>
        <w:tblPrEx>
          <w:tblCellMar>
            <w:top w:w="0" w:type="dxa"/>
            <w:left w:w="0" w:type="dxa"/>
            <w:bottom w:w="0" w:type="dxa"/>
            <w:right w:w="0" w:type="dxa"/>
          </w:tblCellMar>
        </w:tblPrEx>
        <w:trPr>
          <w:trHeight w:val="460" w:hRule="atLeast"/>
        </w:trPr>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13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w:t>
            </w:r>
          </w:p>
        </w:tc>
        <w:tc>
          <w:tcPr>
            <w:tcW w:w="2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说明及考核</w:t>
            </w:r>
          </w:p>
        </w:tc>
      </w:tr>
      <w:tr>
        <w:tblPrEx>
          <w:tblCellMar>
            <w:top w:w="0" w:type="dxa"/>
            <w:left w:w="0" w:type="dxa"/>
            <w:bottom w:w="0" w:type="dxa"/>
            <w:right w:w="0" w:type="dxa"/>
          </w:tblCellMar>
        </w:tblPrEx>
        <w:trPr>
          <w:trHeight w:val="801" w:hRule="atLeast"/>
        </w:trPr>
        <w:tc>
          <w:tcPr>
            <w:tcW w:w="371"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9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寿命</w:t>
            </w:r>
          </w:p>
        </w:tc>
        <w:tc>
          <w:tcPr>
            <w:tcW w:w="13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小修（渣线、四砖）≥45次</w:t>
            </w:r>
          </w:p>
        </w:tc>
        <w:tc>
          <w:tcPr>
            <w:tcW w:w="281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低于标准下限考核，毎少1炉考核2000元；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（2）如乙方有新技术、新材料的使用要求提高钢包寿命，需提出申请经甲方同意后执行，</w:t>
            </w:r>
            <w:r>
              <w:rPr>
                <w:rFonts w:hint="eastAsia" w:ascii="宋体" w:hAnsi="宋体" w:eastAsia="宋体"/>
                <w:color w:val="auto"/>
                <w:kern w:val="2"/>
                <w:sz w:val="21"/>
                <w:szCs w:val="21"/>
                <w:lang w:val="en-US" w:eastAsia="zh-CN" w:bidi="ar-SA"/>
              </w:rPr>
              <w:t>未经甲方允许，乙方私自进行工艺调整试验，考核20000元/次，造成损失翻倍考核</w:t>
            </w:r>
          </w:p>
        </w:tc>
      </w:tr>
      <w:tr>
        <w:tblPrEx>
          <w:tblCellMar>
            <w:top w:w="0" w:type="dxa"/>
            <w:left w:w="0" w:type="dxa"/>
            <w:bottom w:w="0" w:type="dxa"/>
            <w:right w:w="0" w:type="dxa"/>
          </w:tblCellMar>
        </w:tblPrEx>
        <w:trPr>
          <w:trHeight w:val="694" w:hRule="atLeast"/>
        </w:trPr>
        <w:tc>
          <w:tcPr>
            <w:tcW w:w="371"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9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大修（包壁）≥85次</w:t>
            </w:r>
          </w:p>
        </w:tc>
        <w:tc>
          <w:tcPr>
            <w:tcW w:w="281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40" w:hRule="atLeast"/>
        </w:trPr>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容积</w:t>
            </w:r>
          </w:p>
        </w:tc>
        <w:tc>
          <w:tcPr>
            <w:tcW w:w="13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≥130t</w:t>
            </w:r>
          </w:p>
        </w:tc>
        <w:tc>
          <w:tcPr>
            <w:tcW w:w="2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新包砌筑后净空大于等于400mm的情况下钢水装入量大于130t，不满足要求考核1000元/次</w:t>
            </w:r>
          </w:p>
        </w:tc>
      </w:tr>
      <w:tr>
        <w:tblPrEx>
          <w:tblCellMar>
            <w:top w:w="0" w:type="dxa"/>
            <w:left w:w="0" w:type="dxa"/>
            <w:bottom w:w="0" w:type="dxa"/>
            <w:right w:w="0" w:type="dxa"/>
          </w:tblCellMar>
        </w:tblPrEx>
        <w:trPr>
          <w:trHeight w:val="460" w:hRule="atLeast"/>
        </w:trPr>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透气</w:t>
            </w:r>
          </w:p>
        </w:tc>
        <w:tc>
          <w:tcPr>
            <w:tcW w:w="13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透气性良好，不影响生产</w:t>
            </w:r>
          </w:p>
        </w:tc>
        <w:tc>
          <w:tcPr>
            <w:tcW w:w="2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单砖不透气考核1000元/炉；双砖不透气考核2000元/炉，对生产节奏或产品质量造成影响追加考核。</w:t>
            </w:r>
          </w:p>
        </w:tc>
      </w:tr>
      <w:tr>
        <w:tblPrEx>
          <w:tblCellMar>
            <w:top w:w="0" w:type="dxa"/>
            <w:left w:w="0" w:type="dxa"/>
            <w:bottom w:w="0" w:type="dxa"/>
            <w:right w:w="0" w:type="dxa"/>
          </w:tblCellMar>
        </w:tblPrEx>
        <w:trPr>
          <w:trHeight w:val="460" w:hRule="atLeast"/>
        </w:trPr>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生产节奏</w:t>
            </w:r>
          </w:p>
        </w:tc>
        <w:tc>
          <w:tcPr>
            <w:tcW w:w="13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不影响生产</w:t>
            </w:r>
          </w:p>
        </w:tc>
        <w:tc>
          <w:tcPr>
            <w:tcW w:w="2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1、因钢包造成生产计划调整，考核10000元/次。2、钢包异常导致生产待包考核50元/min。</w:t>
            </w:r>
          </w:p>
        </w:tc>
      </w:tr>
      <w:tr>
        <w:tblPrEx>
          <w:tblCellMar>
            <w:top w:w="0" w:type="dxa"/>
            <w:left w:w="0" w:type="dxa"/>
            <w:bottom w:w="0" w:type="dxa"/>
            <w:right w:w="0" w:type="dxa"/>
          </w:tblCellMar>
        </w:tblPrEx>
        <w:trPr>
          <w:trHeight w:val="580" w:hRule="atLeast"/>
        </w:trPr>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w:t>
            </w:r>
          </w:p>
        </w:tc>
        <w:tc>
          <w:tcPr>
            <w:tcW w:w="13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无因耐材影响的钢材质量事故</w:t>
            </w:r>
          </w:p>
        </w:tc>
        <w:tc>
          <w:tcPr>
            <w:tcW w:w="2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经甲方判定因耐材问题引起的质量事故，按异常钢坯吨数考核500元/吨</w:t>
            </w:r>
          </w:p>
        </w:tc>
      </w:tr>
      <w:tr>
        <w:tblPrEx>
          <w:tblCellMar>
            <w:top w:w="0" w:type="dxa"/>
            <w:left w:w="0" w:type="dxa"/>
            <w:bottom w:w="0" w:type="dxa"/>
            <w:right w:w="0" w:type="dxa"/>
          </w:tblCellMar>
        </w:tblPrEx>
        <w:trPr>
          <w:trHeight w:val="460" w:hRule="atLeast"/>
        </w:trPr>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能源</w:t>
            </w:r>
          </w:p>
        </w:tc>
        <w:tc>
          <w:tcPr>
            <w:tcW w:w="13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无跑冒滴漏现象</w:t>
            </w:r>
          </w:p>
        </w:tc>
        <w:tc>
          <w:tcPr>
            <w:tcW w:w="2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根据甲方相关能源管理制度考核</w:t>
            </w:r>
          </w:p>
        </w:tc>
      </w:tr>
      <w:tr>
        <w:tblPrEx>
          <w:tblCellMar>
            <w:top w:w="0" w:type="dxa"/>
            <w:left w:w="0" w:type="dxa"/>
            <w:bottom w:w="0" w:type="dxa"/>
            <w:right w:w="0" w:type="dxa"/>
          </w:tblCellMar>
        </w:tblPrEx>
        <w:trPr>
          <w:trHeight w:val="460" w:hRule="atLeast"/>
        </w:trPr>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w:t>
            </w:r>
          </w:p>
        </w:tc>
        <w:tc>
          <w:tcPr>
            <w:tcW w:w="13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无安全隐患、安全问题</w:t>
            </w:r>
          </w:p>
        </w:tc>
        <w:tc>
          <w:tcPr>
            <w:tcW w:w="28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根据甲方相关安全制度考核</w:t>
            </w:r>
          </w:p>
        </w:tc>
      </w:tr>
    </w:tbl>
    <w:p>
      <w:pPr>
        <w:widowControl w:val="0"/>
        <w:numPr>
          <w:ilvl w:val="0"/>
          <w:numId w:val="0"/>
        </w:numPr>
        <w:tabs>
          <w:tab w:val="left" w:pos="540"/>
        </w:tabs>
        <w:spacing w:line="312" w:lineRule="auto"/>
        <w:jc w:val="both"/>
        <w:rPr>
          <w:rFonts w:hint="eastAsia" w:ascii="宋体" w:hAnsi="宋体"/>
          <w:b/>
          <w:bCs/>
          <w:color w:val="auto"/>
          <w:sz w:val="24"/>
          <w:lang w:val="en-US" w:eastAsia="zh-CN"/>
        </w:rPr>
      </w:pPr>
    </w:p>
    <w:p>
      <w:pPr>
        <w:numPr>
          <w:ilvl w:val="0"/>
          <w:numId w:val="0"/>
        </w:numPr>
        <w:tabs>
          <w:tab w:val="left" w:pos="540"/>
        </w:tabs>
        <w:spacing w:line="312" w:lineRule="auto"/>
        <w:ind w:leftChars="0"/>
        <w:rPr>
          <w:rFonts w:hint="eastAsia" w:ascii="宋体" w:hAnsi="宋体"/>
          <w:b/>
          <w:bCs/>
          <w:color w:val="auto"/>
          <w:sz w:val="24"/>
        </w:rPr>
      </w:pPr>
      <w:r>
        <w:rPr>
          <w:rFonts w:hint="eastAsia" w:ascii="宋体" w:hAnsi="宋体"/>
          <w:b/>
          <w:bCs/>
          <w:color w:val="auto"/>
          <w:sz w:val="24"/>
          <w:lang w:eastAsia="zh-CN"/>
        </w:rPr>
        <w:t>五、结算</w:t>
      </w:r>
    </w:p>
    <w:p>
      <w:pPr>
        <w:numPr>
          <w:ilvl w:val="0"/>
          <w:numId w:val="5"/>
        </w:numPr>
        <w:tabs>
          <w:tab w:val="left" w:pos="540"/>
        </w:tabs>
        <w:spacing w:line="312" w:lineRule="auto"/>
        <w:ind w:leftChars="0"/>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结算费用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Chars="0" w:right="0" w:rightChars="0" w:firstLine="420" w:firstLineChars="200"/>
        <w:jc w:val="left"/>
        <w:textAlignment w:val="auto"/>
        <w:outlineLvl w:val="9"/>
        <w:rPr>
          <w:rFonts w:hint="eastAsia" w:ascii="宋体" w:hAnsi="宋体" w:eastAsia="宋体" w:cs="宋体"/>
          <w:b/>
          <w:bCs/>
          <w:color w:val="auto"/>
          <w:sz w:val="21"/>
          <w:szCs w:val="21"/>
          <w:u w:val="none" w:color="auto"/>
          <w:lang w:val="en-US" w:eastAsia="zh-CN"/>
        </w:rPr>
      </w:pPr>
      <w:r>
        <w:rPr>
          <w:rFonts w:hint="eastAsia" w:ascii="宋体" w:hAnsi="宋体" w:eastAsia="宋体" w:cs="宋体"/>
          <w:color w:val="auto"/>
          <w:sz w:val="21"/>
          <w:szCs w:val="21"/>
          <w:u w:val="none" w:color="auto"/>
        </w:rPr>
        <w:t>承包采用吨钢承包结算方式，</w:t>
      </w:r>
      <w:r>
        <w:rPr>
          <w:rFonts w:hint="eastAsia" w:ascii="宋体" w:hAnsi="宋体" w:eastAsia="宋体" w:cs="宋体"/>
          <w:color w:val="auto"/>
          <w:sz w:val="21"/>
          <w:szCs w:val="21"/>
          <w:u w:val="none" w:color="auto"/>
          <w:lang w:eastAsia="zh-CN"/>
        </w:rPr>
        <w:t>含税（税率</w:t>
      </w:r>
      <w:r>
        <w:rPr>
          <w:rFonts w:hint="eastAsia" w:ascii="宋体" w:hAnsi="宋体" w:eastAsia="宋体" w:cs="宋体"/>
          <w:color w:val="auto"/>
          <w:sz w:val="21"/>
          <w:szCs w:val="21"/>
          <w:u w:val="none" w:color="auto"/>
          <w:lang w:val="en-US" w:eastAsia="zh-CN"/>
        </w:rPr>
        <w:t>13%</w:t>
      </w:r>
      <w:r>
        <w:rPr>
          <w:rFonts w:hint="eastAsia" w:ascii="宋体" w:hAnsi="宋体" w:eastAsia="宋体" w:cs="宋体"/>
          <w:color w:val="auto"/>
          <w:sz w:val="21"/>
          <w:szCs w:val="21"/>
          <w:u w:val="none" w:color="auto"/>
          <w:lang w:eastAsia="zh-CN"/>
        </w:rPr>
        <w:t>）承包</w:t>
      </w:r>
      <w:r>
        <w:rPr>
          <w:rFonts w:hint="eastAsia" w:ascii="宋体" w:hAnsi="宋体" w:eastAsia="宋体" w:cs="宋体"/>
          <w:color w:val="auto"/>
          <w:sz w:val="21"/>
          <w:szCs w:val="21"/>
          <w:u w:val="none" w:color="auto"/>
        </w:rPr>
        <w:t>价格为  元/吨钢</w:t>
      </w:r>
      <w:r>
        <w:rPr>
          <w:rFonts w:hint="eastAsia" w:ascii="宋体" w:hAnsi="宋体" w:eastAsia="宋体" w:cs="宋体"/>
          <w:color w:val="auto"/>
          <w:sz w:val="21"/>
          <w:szCs w:val="21"/>
          <w:u w:val="none" w:color="auto"/>
          <w:lang w:eastAsia="zh-CN"/>
        </w:rPr>
        <w:t>，计算价格如下表所示：</w:t>
      </w:r>
    </w:p>
    <w:tbl>
      <w:tblPr>
        <w:tblStyle w:val="7"/>
        <w:tblW w:w="5700" w:type="dxa"/>
        <w:jc w:val="center"/>
        <w:tblLayout w:type="autofit"/>
        <w:tblCellMar>
          <w:top w:w="0" w:type="dxa"/>
          <w:left w:w="0" w:type="dxa"/>
          <w:bottom w:w="0" w:type="dxa"/>
          <w:right w:w="0" w:type="dxa"/>
        </w:tblCellMar>
      </w:tblPr>
      <w:tblGrid>
        <w:gridCol w:w="1080"/>
        <w:gridCol w:w="2310"/>
        <w:gridCol w:w="2310"/>
      </w:tblGrid>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钢种</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工艺路线</w:t>
            </w:r>
          </w:p>
        </w:tc>
        <w:tc>
          <w:tcPr>
            <w:tcW w:w="23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结算价格</w:t>
            </w:r>
          </w:p>
        </w:tc>
      </w:tr>
      <w:tr>
        <w:tblPrEx>
          <w:tblCellMar>
            <w:top w:w="0" w:type="dxa"/>
            <w:left w:w="0" w:type="dxa"/>
            <w:bottom w:w="0" w:type="dxa"/>
            <w:right w:w="0"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普钢</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直上</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承包价格×0.5</w:t>
            </w:r>
          </w:p>
        </w:tc>
      </w:tr>
      <w:tr>
        <w:tblPrEx>
          <w:tblCellMar>
            <w:top w:w="0" w:type="dxa"/>
            <w:left w:w="0" w:type="dxa"/>
            <w:bottom w:w="0" w:type="dxa"/>
            <w:right w:w="0"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LF</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承包价格×0.7</w:t>
            </w:r>
          </w:p>
        </w:tc>
      </w:tr>
      <w:tr>
        <w:tblPrEx>
          <w:tblCellMar>
            <w:top w:w="0" w:type="dxa"/>
            <w:left w:w="0" w:type="dxa"/>
            <w:bottom w:w="0" w:type="dxa"/>
            <w:right w:w="0"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优钢</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仅过LF/仅过RH</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承包价格×1.0</w:t>
            </w:r>
          </w:p>
        </w:tc>
      </w:tr>
      <w:tr>
        <w:tblPrEx>
          <w:tblCellMar>
            <w:top w:w="0" w:type="dxa"/>
            <w:left w:w="0" w:type="dxa"/>
            <w:bottom w:w="0" w:type="dxa"/>
            <w:right w:w="0"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LF+RH</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承包价格×1.4</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leftChars="0" w:right="0" w:rightChars="0"/>
        <w:jc w:val="center"/>
        <w:textAlignment w:val="auto"/>
        <w:outlineLvl w:val="9"/>
        <w:rPr>
          <w:rFonts w:hint="eastAsia" w:ascii="宋体" w:hAnsi="宋体" w:eastAsia="宋体" w:cs="宋体"/>
          <w:b/>
          <w:bCs/>
          <w:color w:val="auto"/>
          <w:sz w:val="21"/>
          <w:szCs w:val="21"/>
          <w:u w:val="none" w:color="auto"/>
          <w:lang w:val="en-US" w:eastAsia="zh-CN"/>
        </w:rPr>
      </w:pPr>
      <w:r>
        <w:rPr>
          <w:rFonts w:hint="eastAsia" w:ascii="宋体" w:hAnsi="宋体" w:eastAsia="宋体" w:cs="宋体"/>
          <w:b/>
          <w:bCs/>
          <w:color w:val="auto"/>
          <w:sz w:val="21"/>
          <w:szCs w:val="21"/>
          <w:u w:val="none" w:color="auto"/>
          <w:lang w:val="en-US" w:eastAsia="zh-CN"/>
        </w:rPr>
        <w:t xml:space="preserve">结算费用 = </w:t>
      </w:r>
      <w:r>
        <w:rPr>
          <w:rFonts w:hint="eastAsia" w:ascii="宋体" w:hAnsi="宋体" w:eastAsia="宋体" w:cs="宋体"/>
          <w:b/>
          <w:bCs/>
          <w:color w:val="auto"/>
          <w:position w:val="-14"/>
          <w:sz w:val="21"/>
          <w:szCs w:val="21"/>
          <w:u w:val="none" w:color="auto"/>
          <w:lang w:val="en-US" w:eastAsia="zh-CN"/>
        </w:rPr>
        <w:object>
          <v:shape id="_x0000_i1025" o:spt="75" type="#_x0000_t75" style="height:20pt;width:23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宋体" w:hAnsi="宋体" w:eastAsia="宋体" w:cs="宋体"/>
          <w:b/>
          <w:bCs/>
          <w:color w:val="auto"/>
          <w:sz w:val="21"/>
          <w:szCs w:val="21"/>
          <w:u w:val="none" w:color="auto"/>
          <w:lang w:val="en-US" w:eastAsia="zh-CN"/>
        </w:rPr>
        <w:t>结算价格</w:t>
      </w:r>
      <w:r>
        <w:rPr>
          <w:rFonts w:hint="eastAsia" w:ascii="宋体" w:hAnsi="宋体" w:eastAsia="宋体" w:cs="宋体"/>
          <w:b/>
          <w:bCs/>
          <w:color w:val="auto"/>
          <w:sz w:val="21"/>
          <w:szCs w:val="21"/>
          <w:u w:val="none" w:color="auto"/>
        </w:rPr>
        <w:t>×</w:t>
      </w:r>
      <w:r>
        <w:rPr>
          <w:rFonts w:hint="eastAsia" w:ascii="宋体" w:hAnsi="宋体" w:eastAsia="宋体" w:cs="宋体"/>
          <w:b/>
          <w:bCs/>
          <w:color w:val="auto"/>
          <w:sz w:val="21"/>
          <w:szCs w:val="21"/>
          <w:u w:val="none" w:color="auto"/>
          <w:lang w:eastAsia="zh-CN"/>
        </w:rPr>
        <w:t>相应合格坯产量（吨）</w:t>
      </w:r>
      <w:r>
        <w:rPr>
          <w:rFonts w:hint="eastAsia" w:ascii="宋体" w:hAnsi="宋体" w:eastAsia="宋体" w:cs="宋体"/>
          <w:b/>
          <w:bCs/>
          <w:color w:val="auto"/>
          <w:sz w:val="21"/>
          <w:szCs w:val="21"/>
          <w:u w:val="none" w:color="auto"/>
          <w:lang w:val="en-US" w:eastAsia="zh-CN"/>
        </w:rPr>
        <w:t>- 考核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right="0" w:rightChars="0"/>
        <w:textAlignment w:val="auto"/>
        <w:outlineLvl w:val="9"/>
        <w:rPr>
          <w:rFonts w:hint="eastAsia" w:ascii="宋体" w:hAnsi="宋体" w:eastAsia="宋体" w:cs="宋体"/>
          <w:color w:val="auto"/>
          <w:sz w:val="21"/>
          <w:szCs w:val="21"/>
        </w:rPr>
      </w:pPr>
      <w:r>
        <w:rPr>
          <w:rFonts w:hint="eastAsia" w:ascii="宋体" w:hAnsi="宋体"/>
          <w:b/>
          <w:bCs/>
          <w:color w:val="auto"/>
          <w:sz w:val="21"/>
          <w:szCs w:val="21"/>
          <w:lang w:val="en-US" w:eastAsia="zh-CN"/>
        </w:rPr>
        <w:t>2、结算办法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right="0" w:rightChars="0"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每月结算包龄日期与钢厂当月产量截至日期同步；每月过普钢产量和优钢产量分别按各自当月平均炉产结算；钢水倒包，回炉，冻包，钢包穿钢不算包龄</w:t>
      </w:r>
      <w:r>
        <w:rPr>
          <w:rFonts w:hint="eastAsia" w:ascii="宋体" w:hAnsi="宋体" w:eastAsia="宋体" w:cs="宋体"/>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12" w:lineRule="auto"/>
        <w:ind w:right="0" w:rightChars="0" w:firstLine="420" w:firstLineChars="200"/>
        <w:textAlignment w:val="auto"/>
        <w:outlineLvl w:val="9"/>
        <w:rPr>
          <w:rFonts w:hint="eastAsia" w:ascii="宋体" w:hAnsi="宋体"/>
          <w:b/>
          <w:bCs/>
          <w:color w:val="auto"/>
          <w:sz w:val="24"/>
          <w:lang w:eastAsia="zh-CN"/>
        </w:rPr>
      </w:pPr>
      <w:r>
        <w:rPr>
          <w:rFonts w:hint="eastAsia" w:ascii="宋体" w:hAnsi="宋体" w:eastAsia="宋体" w:cs="宋体"/>
          <w:color w:val="auto"/>
          <w:sz w:val="21"/>
          <w:szCs w:val="21"/>
        </w:rPr>
        <w:t>每月初，甲方统计上月连铸合格坯产量和各种考核，计算出实际金额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经与乙方共同确认</w:t>
      </w:r>
      <w:r>
        <w:rPr>
          <w:rFonts w:hint="eastAsia" w:ascii="宋体" w:hAnsi="宋体" w:eastAsia="宋体" w:cs="宋体"/>
          <w:color w:val="auto"/>
          <w:sz w:val="21"/>
          <w:szCs w:val="21"/>
          <w:lang w:eastAsia="zh-CN"/>
        </w:rPr>
        <w:t>无误</w:t>
      </w:r>
      <w:r>
        <w:rPr>
          <w:rFonts w:hint="eastAsia" w:ascii="宋体" w:hAnsi="宋体" w:eastAsia="宋体" w:cs="宋体"/>
          <w:color w:val="auto"/>
          <w:sz w:val="21"/>
          <w:szCs w:val="21"/>
        </w:rPr>
        <w:t>后报</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部，</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部通知乙方开具增值税专用发票给甲方结算；付款等事宜依照商务合同约定</w:t>
      </w:r>
      <w:r>
        <w:rPr>
          <w:rFonts w:hint="eastAsia" w:ascii="宋体" w:hAnsi="宋体" w:eastAsia="宋体" w:cs="宋体"/>
          <w:color w:val="auto"/>
          <w:sz w:val="21"/>
          <w:szCs w:val="21"/>
          <w:lang w:eastAsia="zh-CN"/>
        </w:rPr>
        <w:t>。</w:t>
      </w:r>
    </w:p>
    <w:p>
      <w:pPr>
        <w:numPr>
          <w:ilvl w:val="0"/>
          <w:numId w:val="0"/>
        </w:numPr>
        <w:tabs>
          <w:tab w:val="left" w:pos="540"/>
        </w:tabs>
        <w:spacing w:line="312" w:lineRule="auto"/>
        <w:ind w:leftChars="0"/>
        <w:rPr>
          <w:rFonts w:hint="eastAsia" w:ascii="宋体" w:hAnsi="宋体"/>
          <w:b/>
          <w:bCs/>
          <w:color w:val="auto"/>
          <w:sz w:val="24"/>
        </w:rPr>
      </w:pPr>
      <w:r>
        <w:rPr>
          <w:rFonts w:hint="eastAsia" w:ascii="宋体" w:hAnsi="宋体"/>
          <w:b/>
          <w:bCs/>
          <w:color w:val="auto"/>
          <w:sz w:val="24"/>
          <w:lang w:eastAsia="zh-CN"/>
        </w:rPr>
        <w:t>六、其他</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1"/>
          <w:szCs w:val="21"/>
          <w:u w:val="none" w:color="auto"/>
          <w:lang w:val="en-US" w:eastAsia="zh-CN"/>
        </w:rPr>
      </w:pPr>
      <w:r>
        <w:rPr>
          <w:rFonts w:hint="eastAsia" w:ascii="宋体" w:hAnsi="宋体" w:eastAsia="宋体" w:cs="宋体"/>
          <w:b w:val="0"/>
          <w:bCs/>
          <w:color w:val="auto"/>
          <w:sz w:val="21"/>
          <w:szCs w:val="21"/>
          <w:u w:val="none" w:color="auto"/>
        </w:rPr>
        <w:t>1、</w:t>
      </w:r>
      <w:r>
        <w:rPr>
          <w:rFonts w:hint="eastAsia" w:ascii="宋体" w:hAnsi="宋体" w:eastAsia="宋体" w:cs="宋体"/>
          <w:b w:val="0"/>
          <w:bCs/>
          <w:color w:val="FF0000"/>
          <w:sz w:val="21"/>
          <w:szCs w:val="21"/>
          <w:u w:val="none" w:color="auto"/>
          <w:lang w:eastAsia="zh-CN"/>
        </w:rPr>
        <w:t>新中标方试验钢包</w:t>
      </w:r>
      <w:r>
        <w:rPr>
          <w:rFonts w:hint="eastAsia" w:ascii="宋体" w:hAnsi="宋体" w:eastAsia="宋体" w:cs="宋体"/>
          <w:b w:val="0"/>
          <w:bCs/>
          <w:color w:val="FF0000"/>
          <w:sz w:val="21"/>
          <w:szCs w:val="21"/>
          <w:u w:val="none" w:color="auto"/>
          <w:lang w:val="en-US" w:eastAsia="zh-CN"/>
        </w:rPr>
        <w:t>2个。</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1"/>
          <w:szCs w:val="21"/>
          <w:u w:val="none" w:color="auto"/>
          <w:lang w:eastAsia="zh-CN"/>
        </w:rPr>
      </w:pPr>
      <w:r>
        <w:rPr>
          <w:rFonts w:hint="eastAsia" w:ascii="宋体" w:hAnsi="宋体" w:eastAsia="宋体" w:cs="宋体"/>
          <w:b w:val="0"/>
          <w:bCs/>
          <w:color w:val="auto"/>
          <w:sz w:val="21"/>
          <w:szCs w:val="21"/>
          <w:u w:val="none" w:color="auto"/>
          <w:lang w:val="en-US" w:eastAsia="zh-CN"/>
        </w:rPr>
        <w:t>2、</w:t>
      </w:r>
      <w:r>
        <w:rPr>
          <w:rFonts w:hint="eastAsia" w:ascii="宋体" w:hAnsi="宋体" w:eastAsia="宋体" w:cs="宋体"/>
          <w:b w:val="0"/>
          <w:bCs/>
          <w:color w:val="auto"/>
          <w:sz w:val="21"/>
          <w:szCs w:val="21"/>
          <w:u w:val="none" w:color="auto"/>
          <w:lang w:eastAsia="zh-CN"/>
        </w:rPr>
        <w:t>乙方试验满足协议要求后，签订合同，费用按承包协议予以结算；试验不能满足协议要求的，不予签订合同，相关费用不予结算且扣除投标保证金，若造成甲方损失的，甲方有权追究赔偿。</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color w:val="auto"/>
          <w:sz w:val="21"/>
          <w:szCs w:val="21"/>
          <w:u w:val="none" w:color="auto"/>
          <w:lang w:eastAsia="zh-CN"/>
        </w:rPr>
      </w:pPr>
      <w:r>
        <w:rPr>
          <w:rFonts w:hint="eastAsia" w:ascii="宋体" w:hAnsi="宋体" w:eastAsia="宋体" w:cs="宋体"/>
          <w:b w:val="0"/>
          <w:bCs/>
          <w:color w:val="auto"/>
          <w:sz w:val="21"/>
          <w:szCs w:val="21"/>
          <w:u w:val="none" w:color="auto"/>
          <w:lang w:val="en-US" w:eastAsia="zh-CN"/>
        </w:rPr>
        <w:t>3、签订合同后，</w:t>
      </w:r>
      <w:r>
        <w:rPr>
          <w:rFonts w:hint="eastAsia" w:ascii="宋体" w:hAnsi="宋体" w:eastAsia="宋体" w:cs="宋体"/>
          <w:b w:val="0"/>
          <w:bCs/>
          <w:color w:val="auto"/>
          <w:sz w:val="21"/>
          <w:szCs w:val="21"/>
          <w:u w:val="none" w:color="auto"/>
        </w:rPr>
        <w:t>乙方在</w:t>
      </w:r>
      <w:r>
        <w:rPr>
          <w:rFonts w:hint="eastAsia" w:ascii="宋体" w:hAnsi="宋体" w:eastAsia="宋体" w:cs="宋体"/>
          <w:b w:val="0"/>
          <w:bCs/>
          <w:color w:val="auto"/>
          <w:sz w:val="21"/>
          <w:szCs w:val="21"/>
          <w:u w:val="none" w:color="auto"/>
          <w:lang w:eastAsia="zh-CN"/>
        </w:rPr>
        <w:t>承包</w:t>
      </w:r>
      <w:r>
        <w:rPr>
          <w:rFonts w:hint="eastAsia" w:ascii="宋体" w:hAnsi="宋体" w:eastAsia="宋体" w:cs="宋体"/>
          <w:b w:val="0"/>
          <w:bCs/>
          <w:color w:val="auto"/>
          <w:sz w:val="21"/>
          <w:szCs w:val="21"/>
          <w:u w:val="none" w:color="auto"/>
        </w:rPr>
        <w:t>过程中因</w:t>
      </w:r>
      <w:r>
        <w:rPr>
          <w:rFonts w:hint="eastAsia" w:ascii="宋体" w:hAnsi="宋体" w:eastAsia="宋体" w:cs="宋体"/>
          <w:b w:val="0"/>
          <w:bCs/>
          <w:color w:val="auto"/>
          <w:sz w:val="21"/>
          <w:szCs w:val="21"/>
          <w:u w:val="none" w:color="auto"/>
          <w:lang w:eastAsia="zh-CN"/>
        </w:rPr>
        <w:t>耐材</w:t>
      </w:r>
      <w:r>
        <w:rPr>
          <w:rFonts w:hint="eastAsia" w:ascii="宋体" w:hAnsi="宋体" w:eastAsia="宋体" w:cs="宋体"/>
          <w:b w:val="0"/>
          <w:bCs/>
          <w:color w:val="auto"/>
          <w:sz w:val="21"/>
          <w:szCs w:val="21"/>
          <w:u w:val="none" w:color="auto"/>
        </w:rPr>
        <w:t>质量、</w:t>
      </w:r>
      <w:r>
        <w:rPr>
          <w:rFonts w:hint="eastAsia" w:ascii="宋体" w:hAnsi="宋体" w:eastAsia="宋体" w:cs="宋体"/>
          <w:b w:val="0"/>
          <w:bCs/>
          <w:color w:val="auto"/>
          <w:sz w:val="21"/>
          <w:szCs w:val="21"/>
          <w:u w:val="none" w:color="auto"/>
          <w:lang w:eastAsia="zh-CN"/>
        </w:rPr>
        <w:t>施工、技术</w:t>
      </w:r>
      <w:r>
        <w:rPr>
          <w:rFonts w:hint="eastAsia" w:ascii="宋体" w:hAnsi="宋体" w:eastAsia="宋体" w:cs="宋体"/>
          <w:b w:val="0"/>
          <w:bCs/>
          <w:color w:val="auto"/>
          <w:sz w:val="21"/>
          <w:szCs w:val="21"/>
          <w:u w:val="none" w:color="auto"/>
        </w:rPr>
        <w:t>等问题</w:t>
      </w:r>
      <w:r>
        <w:rPr>
          <w:rFonts w:hint="eastAsia" w:ascii="宋体" w:hAnsi="宋体" w:eastAsia="宋体" w:cs="宋体"/>
          <w:b w:val="0"/>
          <w:bCs/>
          <w:color w:val="auto"/>
          <w:sz w:val="21"/>
          <w:szCs w:val="21"/>
          <w:u w:val="none" w:color="auto"/>
          <w:lang w:eastAsia="zh-CN"/>
        </w:rPr>
        <w:t>连续</w:t>
      </w:r>
      <w:r>
        <w:rPr>
          <w:rFonts w:hint="eastAsia" w:ascii="宋体" w:hAnsi="宋体" w:eastAsia="宋体" w:cs="宋体"/>
          <w:b w:val="0"/>
          <w:bCs/>
          <w:color w:val="auto"/>
          <w:sz w:val="21"/>
          <w:szCs w:val="21"/>
          <w:u w:val="none" w:color="auto"/>
          <w:lang w:val="en-US" w:eastAsia="zh-CN"/>
        </w:rPr>
        <w:t>2月或累计3个月钢包包龄未达到协议要求占比≥30%，或者</w:t>
      </w:r>
      <w:r>
        <w:rPr>
          <w:rFonts w:hint="eastAsia" w:ascii="宋体" w:hAnsi="宋体"/>
          <w:color w:val="auto"/>
          <w:sz w:val="21"/>
          <w:szCs w:val="21"/>
          <w:u w:val="none" w:color="auto"/>
          <w:lang w:eastAsia="zh-CN"/>
        </w:rPr>
        <w:t>不能满足甲方生产，甲方可单方面立即终止合同，并扣除合同终止前</w:t>
      </w:r>
      <w:r>
        <w:rPr>
          <w:rFonts w:hint="eastAsia" w:ascii="宋体" w:hAnsi="宋体"/>
          <w:color w:val="auto"/>
          <w:sz w:val="21"/>
          <w:szCs w:val="21"/>
          <w:u w:val="none" w:color="auto"/>
          <w:lang w:val="en-US" w:eastAsia="zh-CN"/>
        </w:rPr>
        <w:t>2个月</w:t>
      </w:r>
      <w:r>
        <w:rPr>
          <w:rFonts w:hint="eastAsia" w:ascii="宋体" w:hAnsi="宋体"/>
          <w:color w:val="auto"/>
          <w:sz w:val="21"/>
          <w:szCs w:val="21"/>
          <w:u w:val="none" w:color="auto"/>
          <w:lang w:eastAsia="zh-CN"/>
        </w:rPr>
        <w:t>承包款的</w:t>
      </w:r>
      <w:r>
        <w:rPr>
          <w:rFonts w:hint="eastAsia" w:ascii="宋体" w:hAnsi="宋体"/>
          <w:color w:val="auto"/>
          <w:sz w:val="21"/>
          <w:szCs w:val="21"/>
          <w:u w:val="none" w:color="auto"/>
          <w:lang w:val="en-US" w:eastAsia="zh-CN"/>
        </w:rPr>
        <w:t>20%。</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default" w:ascii="宋体" w:hAnsi="宋体"/>
          <w:color w:val="auto"/>
          <w:sz w:val="21"/>
          <w:szCs w:val="21"/>
          <w:u w:val="none" w:color="auto"/>
          <w:lang w:val="en-US" w:eastAsia="zh-CN"/>
        </w:rPr>
      </w:pPr>
      <w:r>
        <w:rPr>
          <w:rFonts w:hint="eastAsia" w:ascii="宋体" w:hAnsi="宋体"/>
          <w:color w:val="auto"/>
          <w:sz w:val="21"/>
          <w:szCs w:val="21"/>
          <w:u w:val="none" w:color="auto"/>
          <w:lang w:val="en-US" w:eastAsia="zh-CN"/>
        </w:rPr>
        <w:t>4、</w:t>
      </w:r>
      <w:r>
        <w:rPr>
          <w:rFonts w:hint="eastAsia" w:ascii="宋体" w:hAnsi="宋体" w:eastAsia="宋体" w:cs="宋体"/>
          <w:b w:val="0"/>
          <w:bCs/>
          <w:color w:val="auto"/>
          <w:sz w:val="21"/>
          <w:szCs w:val="21"/>
          <w:u w:val="none" w:color="auto"/>
          <w:lang w:val="en-US" w:eastAsia="zh-CN"/>
        </w:rPr>
        <w:t>承包期内，若乙方因故不能继续提供承包服务的，需提前3个月向甲方提出书面申请，</w:t>
      </w:r>
      <w:r>
        <w:rPr>
          <w:rFonts w:hint="eastAsia" w:ascii="宋体" w:hAnsi="宋体" w:eastAsia="宋体" w:cs="宋体"/>
          <w:b w:val="0"/>
          <w:bCs/>
          <w:color w:val="auto"/>
          <w:sz w:val="21"/>
          <w:szCs w:val="21"/>
          <w:u w:val="none" w:color="auto"/>
        </w:rPr>
        <w:t>经</w:t>
      </w:r>
      <w:r>
        <w:rPr>
          <w:rFonts w:hint="eastAsia" w:ascii="宋体" w:hAnsi="宋体" w:eastAsia="宋体" w:cs="宋体"/>
          <w:b w:val="0"/>
          <w:bCs/>
          <w:color w:val="auto"/>
          <w:sz w:val="21"/>
          <w:szCs w:val="21"/>
          <w:u w:val="none" w:color="auto"/>
          <w:lang w:eastAsia="zh-CN"/>
        </w:rPr>
        <w:t>甲方</w:t>
      </w:r>
      <w:r>
        <w:rPr>
          <w:rFonts w:hint="eastAsia" w:ascii="宋体" w:hAnsi="宋体" w:eastAsia="宋体" w:cs="宋体"/>
          <w:b w:val="0"/>
          <w:bCs/>
          <w:color w:val="auto"/>
          <w:sz w:val="21"/>
          <w:szCs w:val="21"/>
          <w:u w:val="none" w:color="auto"/>
        </w:rPr>
        <w:t>同意后方可终止协议，并办理交接清算手续，未经同意即单方面终止本协议，必须赔偿</w:t>
      </w:r>
      <w:r>
        <w:rPr>
          <w:rFonts w:hint="eastAsia" w:ascii="宋体" w:hAnsi="宋体" w:eastAsia="宋体" w:cs="宋体"/>
          <w:b w:val="0"/>
          <w:bCs/>
          <w:color w:val="auto"/>
          <w:sz w:val="21"/>
          <w:szCs w:val="21"/>
          <w:u w:val="none" w:color="auto"/>
          <w:lang w:eastAsia="zh-CN"/>
        </w:rPr>
        <w:t>甲方</w:t>
      </w:r>
      <w:r>
        <w:rPr>
          <w:rFonts w:hint="eastAsia" w:ascii="宋体" w:hAnsi="宋体" w:eastAsia="宋体" w:cs="宋体"/>
          <w:b w:val="0"/>
          <w:bCs/>
          <w:color w:val="auto"/>
          <w:sz w:val="21"/>
          <w:szCs w:val="21"/>
          <w:u w:val="none" w:color="auto"/>
        </w:rPr>
        <w:t>由此产生的一切损失。</w:t>
      </w:r>
    </w:p>
    <w:p>
      <w:pPr>
        <w:numPr>
          <w:ilvl w:val="0"/>
          <w:numId w:val="0"/>
        </w:numPr>
        <w:tabs>
          <w:tab w:val="left" w:pos="540"/>
        </w:tabs>
        <w:spacing w:line="312" w:lineRule="auto"/>
        <w:ind w:leftChars="0"/>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lang w:val="en-US" w:eastAsia="zh-CN"/>
        </w:rPr>
        <w:t>5、</w:t>
      </w:r>
      <w:r>
        <w:rPr>
          <w:rFonts w:hint="eastAsia" w:ascii="宋体" w:hAnsi="宋体" w:eastAsia="宋体" w:cs="宋体"/>
          <w:color w:val="auto"/>
          <w:sz w:val="21"/>
          <w:szCs w:val="21"/>
          <w:u w:val="none" w:color="auto"/>
          <w:lang w:eastAsia="zh-CN"/>
        </w:rPr>
        <w:t>无条件配合甲方进行钢包相关生产工艺调整。</w:t>
      </w:r>
    </w:p>
    <w:p>
      <w:pPr>
        <w:numPr>
          <w:ilvl w:val="0"/>
          <w:numId w:val="0"/>
        </w:numPr>
        <w:spacing w:line="312" w:lineRule="auto"/>
        <w:ind w:leftChars="0"/>
        <w:rPr>
          <w:rFonts w:hint="eastAsia" w:ascii="宋体" w:hAnsi="宋体"/>
          <w:color w:val="auto"/>
          <w:sz w:val="21"/>
          <w:szCs w:val="21"/>
          <w:u w:val="none" w:color="auto"/>
        </w:rPr>
      </w:pPr>
      <w:r>
        <w:rPr>
          <w:rFonts w:hint="eastAsia" w:ascii="宋体" w:hAnsi="宋体"/>
          <w:color w:val="auto"/>
          <w:sz w:val="21"/>
          <w:szCs w:val="21"/>
          <w:u w:val="none" w:color="auto"/>
          <w:lang w:val="en-US" w:eastAsia="zh-CN"/>
        </w:rPr>
        <w:t>6、</w:t>
      </w:r>
      <w:r>
        <w:rPr>
          <w:rFonts w:hint="eastAsia" w:ascii="宋体" w:hAnsi="宋体"/>
          <w:color w:val="auto"/>
          <w:sz w:val="21"/>
          <w:szCs w:val="21"/>
          <w:u w:val="none" w:color="auto"/>
        </w:rPr>
        <w:t>甲方与乙方签订《安全环保协议》与《综合治理协议》，这两项协议作为附属协议，具有合同的法律效力，甲乙双方必须严格遵守，签订两项协议后乙方方可进入甲方现场作业；</w:t>
      </w:r>
    </w:p>
    <w:p>
      <w:pPr>
        <w:numPr>
          <w:ilvl w:val="0"/>
          <w:numId w:val="0"/>
        </w:numPr>
        <w:spacing w:line="312" w:lineRule="auto"/>
        <w:ind w:leftChars="0"/>
        <w:rPr>
          <w:rFonts w:hint="eastAsia" w:ascii="宋体" w:hAnsi="宋体"/>
          <w:color w:val="auto"/>
          <w:sz w:val="21"/>
          <w:szCs w:val="21"/>
          <w:u w:val="none" w:color="auto"/>
        </w:rPr>
      </w:pPr>
      <w:r>
        <w:rPr>
          <w:rFonts w:hint="eastAsia" w:ascii="宋体" w:hAnsi="宋体"/>
          <w:color w:val="auto"/>
          <w:sz w:val="21"/>
          <w:szCs w:val="21"/>
          <w:u w:val="none" w:color="auto"/>
          <w:lang w:val="en-US" w:eastAsia="zh-CN"/>
        </w:rPr>
        <w:t>7、</w:t>
      </w:r>
      <w:r>
        <w:rPr>
          <w:rFonts w:hint="eastAsia" w:ascii="宋体" w:hAnsi="宋体"/>
          <w:color w:val="auto"/>
          <w:sz w:val="21"/>
          <w:szCs w:val="21"/>
          <w:u w:val="none" w:color="auto"/>
        </w:rPr>
        <w:t>本协议具有合同的法律效力，甲乙双方必须严格遵守，在执行过程中发生的争议，由双方协商解决，协商不成的由企业所在地人民法院裁决；</w:t>
      </w:r>
    </w:p>
    <w:p>
      <w:pPr>
        <w:numPr>
          <w:ilvl w:val="0"/>
          <w:numId w:val="0"/>
        </w:numPr>
        <w:spacing w:line="312" w:lineRule="auto"/>
        <w:ind w:leftChars="0"/>
        <w:rPr>
          <w:rFonts w:hint="eastAsia" w:ascii="宋体" w:hAnsi="宋体"/>
          <w:color w:val="auto"/>
          <w:sz w:val="21"/>
          <w:szCs w:val="21"/>
          <w:u w:val="none" w:color="auto"/>
        </w:rPr>
      </w:pPr>
      <w:r>
        <w:rPr>
          <w:rFonts w:hint="eastAsia" w:ascii="宋体" w:hAnsi="宋体"/>
          <w:color w:val="auto"/>
          <w:sz w:val="21"/>
          <w:szCs w:val="21"/>
          <w:u w:val="none" w:color="auto"/>
          <w:lang w:val="en-US" w:eastAsia="zh-CN"/>
        </w:rPr>
        <w:t>8、</w:t>
      </w:r>
      <w:r>
        <w:rPr>
          <w:rFonts w:hint="eastAsia" w:ascii="宋体" w:hAnsi="宋体"/>
          <w:color w:val="auto"/>
          <w:sz w:val="21"/>
          <w:szCs w:val="21"/>
          <w:u w:val="none" w:color="auto"/>
        </w:rPr>
        <w:t>本协议一式</w:t>
      </w:r>
      <w:r>
        <w:rPr>
          <w:rFonts w:hint="eastAsia" w:ascii="宋体" w:hAnsi="宋体"/>
          <w:color w:val="auto"/>
          <w:sz w:val="21"/>
          <w:szCs w:val="21"/>
          <w:u w:val="none" w:color="auto"/>
          <w:lang w:eastAsia="zh-CN"/>
        </w:rPr>
        <w:t>三</w:t>
      </w:r>
      <w:r>
        <w:rPr>
          <w:rFonts w:hint="eastAsia" w:ascii="宋体" w:hAnsi="宋体"/>
          <w:color w:val="auto"/>
          <w:sz w:val="21"/>
          <w:szCs w:val="21"/>
          <w:u w:val="none" w:color="auto"/>
        </w:rPr>
        <w:t>份，甲方</w:t>
      </w:r>
      <w:r>
        <w:rPr>
          <w:rFonts w:hint="eastAsia" w:ascii="宋体" w:hAnsi="宋体"/>
          <w:color w:val="auto"/>
          <w:sz w:val="21"/>
          <w:szCs w:val="21"/>
          <w:u w:val="none" w:color="auto"/>
          <w:lang w:eastAsia="zh-CN"/>
        </w:rPr>
        <w:t>两</w:t>
      </w:r>
      <w:r>
        <w:rPr>
          <w:rFonts w:hint="eastAsia" w:ascii="宋体" w:hAnsi="宋体"/>
          <w:color w:val="auto"/>
          <w:sz w:val="21"/>
          <w:szCs w:val="21"/>
          <w:u w:val="none" w:color="auto"/>
        </w:rPr>
        <w:t>份，乙方一份，经双方代表签字后生效；</w:t>
      </w:r>
    </w:p>
    <w:p>
      <w:pPr>
        <w:keepNext w:val="0"/>
        <w:keepLines w:val="0"/>
        <w:pageBreakBefore w:val="0"/>
        <w:widowControl w:val="0"/>
        <w:kinsoku/>
        <w:wordWrap/>
        <w:overflowPunct/>
        <w:topLinePunct w:val="0"/>
        <w:autoSpaceDE/>
        <w:autoSpaceDN/>
        <w:bidi w:val="0"/>
        <w:adjustRightInd/>
        <w:snapToGrid/>
        <w:spacing w:before="0" w:beforeLines="0" w:line="400" w:lineRule="exact"/>
        <w:ind w:right="0" w:rightChars="0"/>
        <w:jc w:val="both"/>
        <w:textAlignment w:val="auto"/>
        <w:outlineLvl w:val="9"/>
        <w:rPr>
          <w:rFonts w:hint="eastAsia" w:ascii="宋体" w:hAnsi="宋体" w:eastAsia="宋体" w:cs="宋体"/>
          <w:color w:val="auto"/>
          <w:sz w:val="21"/>
          <w:szCs w:val="21"/>
          <w:lang w:val="en-US" w:eastAsia="zh-CN"/>
        </w:rPr>
      </w:pPr>
      <w:r>
        <w:rPr>
          <w:rFonts w:hint="eastAsia" w:ascii="宋体" w:hAnsi="宋体"/>
          <w:color w:val="auto"/>
          <w:sz w:val="21"/>
          <w:szCs w:val="21"/>
          <w:u w:val="none" w:color="auto"/>
        </w:rPr>
        <w:t>本协议未尽事宜，由双方协商解决。</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E40D2"/>
    <w:multiLevelType w:val="singleLevel"/>
    <w:tmpl w:val="B3DE40D2"/>
    <w:lvl w:ilvl="0" w:tentative="0">
      <w:start w:val="1"/>
      <w:numFmt w:val="decimal"/>
      <w:suff w:val="nothing"/>
      <w:lvlText w:val="%1、"/>
      <w:lvlJc w:val="left"/>
    </w:lvl>
  </w:abstractNum>
  <w:abstractNum w:abstractNumId="1">
    <w:nsid w:val="CAE0094C"/>
    <w:multiLevelType w:val="singleLevel"/>
    <w:tmpl w:val="CAE0094C"/>
    <w:lvl w:ilvl="0" w:tentative="0">
      <w:start w:val="1"/>
      <w:numFmt w:val="decimal"/>
      <w:suff w:val="nothing"/>
      <w:lvlText w:val="（%1）"/>
      <w:lvlJc w:val="left"/>
    </w:lvl>
  </w:abstractNum>
  <w:abstractNum w:abstractNumId="2">
    <w:nsid w:val="EA76DD8C"/>
    <w:multiLevelType w:val="singleLevel"/>
    <w:tmpl w:val="EA76DD8C"/>
    <w:lvl w:ilvl="0" w:tentative="0">
      <w:start w:val="1"/>
      <w:numFmt w:val="decimal"/>
      <w:suff w:val="nothing"/>
      <w:lvlText w:val="%1、"/>
      <w:lvlJc w:val="left"/>
    </w:lvl>
  </w:abstractNum>
  <w:abstractNum w:abstractNumId="3">
    <w:nsid w:val="00000008"/>
    <w:multiLevelType w:val="multilevel"/>
    <w:tmpl w:val="00000008"/>
    <w:lvl w:ilvl="0" w:tentative="0">
      <w:start w:val="1"/>
      <w:numFmt w:val="decimal"/>
      <w:lvlText w:val="%1."/>
      <w:lvlJc w:val="left"/>
      <w:pPr>
        <w:tabs>
          <w:tab w:val="left" w:pos="425"/>
        </w:tabs>
        <w:ind w:left="425" w:hanging="425"/>
      </w:pPr>
      <w:rPr>
        <w:rFonts w:hint="default" w:ascii="Times New Roman" w:hAnsi="Times New Roman" w:cs="Times New Roman"/>
        <w:sz w:val="24"/>
        <w:szCs w:val="24"/>
      </w:rPr>
    </w:lvl>
    <w:lvl w:ilvl="1" w:tentative="0">
      <w:start w:val="1"/>
      <w:numFmt w:val="decimal"/>
      <w:lvlText w:val="%1.%2."/>
      <w:lvlJc w:val="left"/>
      <w:pPr>
        <w:tabs>
          <w:tab w:val="left" w:pos="567"/>
        </w:tabs>
        <w:ind w:left="567" w:hanging="567"/>
      </w:pPr>
      <w:rPr>
        <w:rFonts w:hint="eastAsia"/>
        <w:b w:val="0"/>
        <w:i w:val="0"/>
        <w:sz w:val="21"/>
      </w:rPr>
    </w:lvl>
    <w:lvl w:ilvl="2" w:tentative="0">
      <w:start w:val="1"/>
      <w:numFmt w:val="decimal"/>
      <w:lvlText w:val="%1.%2.%3."/>
      <w:lvlJc w:val="left"/>
      <w:pPr>
        <w:tabs>
          <w:tab w:val="left" w:pos="720"/>
        </w:tabs>
        <w:ind w:left="709" w:hanging="709"/>
      </w:pPr>
      <w:rPr>
        <w:rFonts w:hint="eastAsia"/>
        <w:b w:val="0"/>
        <w:i w:val="0"/>
        <w:sz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32E3D6A5"/>
    <w:multiLevelType w:val="singleLevel"/>
    <w:tmpl w:val="32E3D6A5"/>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77127"/>
    <w:rsid w:val="032E2054"/>
    <w:rsid w:val="05ED7852"/>
    <w:rsid w:val="10BE50E3"/>
    <w:rsid w:val="116E7DDB"/>
    <w:rsid w:val="12062430"/>
    <w:rsid w:val="21B65E4B"/>
    <w:rsid w:val="2ADF2C70"/>
    <w:rsid w:val="30330DBC"/>
    <w:rsid w:val="306624AF"/>
    <w:rsid w:val="367107BF"/>
    <w:rsid w:val="3F253CE0"/>
    <w:rsid w:val="4B185633"/>
    <w:rsid w:val="51F927F5"/>
    <w:rsid w:val="52F00CBC"/>
    <w:rsid w:val="5DAE4125"/>
    <w:rsid w:val="5F11610B"/>
    <w:rsid w:val="7D4E0B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w:basedOn w:val="3"/>
    <w:qFormat/>
    <w:uiPriority w:val="0"/>
    <w:pPr>
      <w:adjustRightInd w:val="0"/>
      <w:spacing w:line="312" w:lineRule="auto"/>
      <w:ind w:firstLine="420" w:firstLineChars="100"/>
      <w:textAlignment w:val="baseline"/>
    </w:pPr>
    <w:rPr>
      <w:kern w:val="0"/>
      <w:sz w:val="28"/>
      <w:szCs w:val="20"/>
    </w:rPr>
  </w:style>
  <w:style w:type="character" w:customStyle="1" w:styleId="9">
    <w:name w:val="font01"/>
    <w:basedOn w:val="8"/>
    <w:qFormat/>
    <w:uiPriority w:val="0"/>
    <w:rPr>
      <w:rFonts w:hint="eastAsia" w:ascii="宋体" w:hAnsi="宋体" w:eastAsia="宋体" w:cs="宋体"/>
      <w:color w:val="000000"/>
      <w:sz w:val="22"/>
      <w:szCs w:val="22"/>
      <w:u w:val="none"/>
    </w:rPr>
  </w:style>
  <w:style w:type="character" w:customStyle="1" w:styleId="10">
    <w:name w:val="font11"/>
    <w:basedOn w:val="8"/>
    <w:uiPriority w:val="0"/>
    <w:rPr>
      <w:rFonts w:ascii="Arial" w:hAnsi="Arial" w:cs="Arial"/>
      <w:color w:val="000000"/>
      <w:sz w:val="22"/>
      <w:szCs w:val="22"/>
      <w:u w:val="none"/>
    </w:rPr>
  </w:style>
  <w:style w:type="table" w:customStyle="1" w:styleId="11">
    <w:name w:val="普通表格1"/>
    <w:qFormat/>
    <w:uiPriority w:val="0"/>
    <w:tblPr/>
  </w:style>
  <w:style w:type="table" w:customStyle="1" w:styleId="12">
    <w:name w:val="网格型1"/>
    <w:basedOn w:val="11"/>
    <w:qFormat/>
    <w:uiPriority w:val="0"/>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lmluman</dc:creator>
  <cp:lastModifiedBy>Administrator</cp:lastModifiedBy>
  <dcterms:modified xsi:type="dcterms:W3CDTF">2021-09-19T00:53:54Z</dcterms:modified>
  <dc:title>钢包技术协议统一平台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754DCCF1BFB94EC99EBAAFC3D0F41147</vt:lpwstr>
  </property>
</Properties>
</file>