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碳化稻壳</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lang w:val="en-US" w:eastAsia="zh-CN"/>
        </w:rPr>
        <w:t>19</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WXXX</w:t>
      </w:r>
      <w:r>
        <w:rPr>
          <w:rFonts w:hint="eastAsia" w:ascii="宋体" w:hAnsi="宋体"/>
          <w:u w:val="single"/>
          <w:lang w:val="en-US" w:eastAsia="zh-CN"/>
        </w:rPr>
        <w:t>SC2021090018THDK</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8"/>
          <w:szCs w:val="28"/>
          <w:shd w:val="clear" w:color="auto" w:fill="FFFFFF"/>
          <w:lang w:val="en-US" w:eastAsia="zh-CN"/>
        </w:rPr>
        <w:t>碳化稻壳</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物资采购</w:t>
      </w:r>
      <w:r>
        <w:rPr>
          <w:rFonts w:hint="eastAsia" w:ascii="宋体" w:hAnsi="宋体" w:eastAsia="宋体" w:cs="Times New Roman"/>
          <w:kern w:val="2"/>
          <w:sz w:val="24"/>
          <w:szCs w:val="24"/>
          <w:lang w:val="en-US" w:eastAsia="zh-CN" w:bidi="ar-SA"/>
        </w:rPr>
        <w:t xml:space="preserve">部：       </w:t>
      </w:r>
      <w:r>
        <w:rPr>
          <w:rFonts w:hint="eastAsia" w:ascii="宋体" w:hAnsi="宋体" w:cs="Times New Roman"/>
          <w:kern w:val="2"/>
          <w:sz w:val="24"/>
          <w:szCs w:val="24"/>
          <w:lang w:val="en-US" w:eastAsia="zh-CN" w:bidi="ar-SA"/>
        </w:rPr>
        <w:t>刘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18794814364</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9</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9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bCs/>
          <w:sz w:val="24"/>
          <w:szCs w:val="24"/>
          <w:u w:val="single"/>
          <w:lang w:val="en-US" w:eastAsia="zh-CN"/>
        </w:rPr>
        <w:t>2</w:t>
      </w:r>
      <w:r>
        <w:rPr>
          <w:rFonts w:hint="eastAsia" w:ascii="宋体" w:hAnsi="宋体"/>
          <w:sz w:val="24"/>
          <w:szCs w:val="24"/>
          <w:u w:val="single"/>
          <w:lang w:val="en-US" w:eastAsia="zh-CN"/>
        </w:rPr>
        <w:t>8</w:t>
      </w:r>
      <w:r>
        <w:rPr>
          <w:rFonts w:hint="eastAsia" w:ascii="宋体" w:hAnsi="宋体"/>
          <w:sz w:val="24"/>
          <w:szCs w:val="24"/>
          <w:u w:val="none"/>
          <w:lang w:val="en-US" w:eastAsia="zh-CN"/>
        </w:rPr>
        <w:t>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bookmarkStart w:id="0" w:name="_GoBack"/>
      <w:bookmarkEnd w:id="0"/>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eastAsia="zh-CN"/>
        </w:rPr>
        <w:t>（</w:t>
      </w:r>
      <w:r>
        <w:rPr>
          <w:rFonts w:hint="eastAsia" w:ascii="宋体" w:hAnsi="宋体"/>
          <w:b/>
          <w:color w:val="FF0000"/>
          <w:sz w:val="24"/>
          <w:szCs w:val="24"/>
          <w:lang w:val="en-US" w:eastAsia="zh-CN"/>
        </w:rPr>
        <w:t>详见技术文件</w:t>
      </w:r>
      <w:r>
        <w:rPr>
          <w:rFonts w:hint="eastAsia" w:ascii="宋体" w:hAnsi="宋体"/>
          <w:b/>
          <w:color w:val="FF0000"/>
          <w:sz w:val="24"/>
          <w:szCs w:val="24"/>
          <w:lang w:eastAsia="zh-CN"/>
        </w:rPr>
        <w:t>）</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本次招标分两个标段：（1）碳化稻壳（小袋包装），数量为1200吨；（2）碳化稻壳（小袋外套吨包），数量为1200吨。</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C≥35%；SiO2≥35%；H2O≤3%；自然堆积密度≤130g/dm3；粒度：颗粒饱满，外表面均匀整齐而密集的布满鼓包，内部呈空心状态，碎粉≤5%.让步接收标准：C≥30%；SiO2≥30%；H2O≤5%；自然堆积密度≤160g/dm3。1、C超出标准在让步范围内，每降低1%，合同价格降2%；超出让步范围退货；2、SiO2超出标准在让步范围内，每降低1%，合同价格降2%；超出让步范围退货；3、H2O超出标准在让步范围内，每上升0.1%，合同价格降1%；超出让步范围退货；4、堆积密度超出标准在让步范围内，每上升1g/dm3，合同价格降0.5%；超出让步范围退货；5、碎粉超出标准,扣吨位结算，超出20%退货。</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包装要求：炼铁用碳化稻壳采取防潮小袋包装，炼钢用碳化稻壳采取防潮小袋外套吨袋包装。</w:t>
      </w:r>
    </w:p>
    <w:p>
      <w:pPr>
        <w:numPr>
          <w:ilvl w:val="0"/>
          <w:numId w:val="8"/>
        </w:numPr>
        <w:spacing w:line="360" w:lineRule="auto"/>
        <w:ind w:firstLine="482" w:firstLineChars="200"/>
        <w:rPr>
          <w:rFonts w:hint="default" w:ascii="宋体" w:hAnsi="宋体"/>
          <w:b/>
          <w:color w:val="FF0000"/>
          <w:sz w:val="24"/>
          <w:szCs w:val="24"/>
          <w:lang w:val="en-US" w:eastAsia="zh-CN"/>
        </w:rPr>
      </w:pPr>
      <w:r>
        <w:rPr>
          <w:rFonts w:hint="eastAsia" w:ascii="宋体" w:hAnsi="宋体"/>
          <w:b/>
          <w:color w:val="FF0000"/>
          <w:sz w:val="24"/>
          <w:szCs w:val="24"/>
          <w:lang w:val="en-US" w:eastAsia="zh-CN"/>
        </w:rPr>
        <w:t>其他技术要求 参见炼铁、炼钢下发的《碳化稻壳招标统一要求》；</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供方在供料过程中，必须配合需方监控部进行质量抽检，不得以任何形式阻止或逃避需方的抽检，在抽检过程中，如供方出现较大质量问题，需方根据公司相关规章制度，由质量部组织调查，做出相关处理决定。</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送货车辆必须具备相应安全资质，车辆在厂区内遵守我公司相关要求。违反规定按我司相关规定进行处理。</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卸货时按需方规定码放整齐，不能随意乱摆，如有发现将进行考核。</w:t>
      </w: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仿宋_GB2312" w:eastAsia="仿宋_GB2312"/>
          <w:sz w:val="28"/>
          <w:szCs w:val="28"/>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C3wZLWAAAABwEAAA8AAAAAAAAAAQAgAAAAIgAAAGRycy9kb3ducmV2Lnht&#10;bFBLAQIUABQAAAAIAIdO4kBTPubuwgEAAHcDAAAOAAAAAAAAAAEAIAAAACUBAABkcnMvZTJvRG9j&#10;LnhtbFBLBQYAAAAABgAGAFkBAABZBQ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8" o:spt="75" type="#_x0000_t75" style="position:absolute;left:0pt;margin-left:20.05pt;margin-top:-1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b/>
          <w:bCs/>
          <w:color w:val="FF0000"/>
          <w:sz w:val="28"/>
          <w:szCs w:val="28"/>
          <w:u w:val="single"/>
          <w:shd w:val="clear" w:color="auto" w:fill="FFFFFF"/>
          <w:lang w:val="en-US" w:eastAsia="zh-CN"/>
        </w:rPr>
        <w:t>碳化稻壳</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230"/>
        <w:gridCol w:w="1210"/>
        <w:gridCol w:w="3858"/>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3"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680" w:type="pct"/>
            <w:noWrap w:val="0"/>
            <w:vAlign w:val="center"/>
          </w:tcPr>
          <w:p>
            <w:pPr>
              <w:jc w:val="center"/>
              <w:rPr>
                <w:rFonts w:hint="eastAsia"/>
                <w:sz w:val="18"/>
                <w:szCs w:val="18"/>
              </w:rPr>
            </w:pPr>
            <w:r>
              <w:rPr>
                <w:rFonts w:hint="eastAsia"/>
                <w:sz w:val="18"/>
                <w:szCs w:val="18"/>
              </w:rPr>
              <w:t>理论要求数量</w:t>
            </w:r>
          </w:p>
        </w:tc>
        <w:tc>
          <w:tcPr>
            <w:tcW w:w="2168" w:type="pct"/>
            <w:noWrap w:val="0"/>
            <w:vAlign w:val="center"/>
          </w:tcPr>
          <w:p>
            <w:pPr>
              <w:jc w:val="center"/>
              <w:rPr>
                <w:rFonts w:hint="eastAsia"/>
                <w:sz w:val="18"/>
                <w:szCs w:val="18"/>
              </w:rPr>
            </w:pPr>
            <w:r>
              <w:rPr>
                <w:rFonts w:hint="eastAsia"/>
                <w:sz w:val="18"/>
                <w:szCs w:val="18"/>
              </w:rPr>
              <w:t>含税、含运费报价（元/吨）</w:t>
            </w:r>
          </w:p>
        </w:tc>
        <w:tc>
          <w:tcPr>
            <w:tcW w:w="1126"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33"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ascii="宋体" w:hAnsi="宋体" w:eastAsia="宋体"/>
                <w:b/>
                <w:color w:val="000000"/>
                <w:sz w:val="24"/>
                <w:szCs w:val="24"/>
                <w:lang w:eastAsia="zh-CN"/>
              </w:rPr>
            </w:pPr>
            <w:r>
              <w:rPr>
                <w:rFonts w:hint="eastAsia" w:ascii="宋体" w:hAnsi="宋体"/>
                <w:b/>
                <w:color w:val="FF0000"/>
                <w:sz w:val="24"/>
                <w:szCs w:val="24"/>
                <w:lang w:val="en-US" w:eastAsia="zh-CN"/>
              </w:rPr>
              <w:t>碳化稻壳（小袋包装）</w:t>
            </w:r>
          </w:p>
        </w:tc>
        <w:tc>
          <w:tcPr>
            <w:tcW w:w="680" w:type="pct"/>
            <w:vMerge w:val="restart"/>
            <w:noWrap w:val="0"/>
            <w:vAlign w:val="center"/>
          </w:tcPr>
          <w:p>
            <w:pPr>
              <w:jc w:val="center"/>
              <w:rPr>
                <w:rFonts w:hint="default" w:eastAsia="宋体"/>
                <w:sz w:val="24"/>
                <w:szCs w:val="24"/>
                <w:lang w:val="en-US" w:eastAsia="zh-CN"/>
              </w:rPr>
            </w:pPr>
            <w:r>
              <w:rPr>
                <w:rFonts w:hint="eastAsia"/>
                <w:sz w:val="24"/>
                <w:szCs w:val="24"/>
                <w:lang w:val="en-US" w:eastAsia="zh-CN"/>
              </w:rPr>
              <w:t>1200吨</w:t>
            </w:r>
          </w:p>
        </w:tc>
        <w:tc>
          <w:tcPr>
            <w:tcW w:w="2168"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1126"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3"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168"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1126"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3" w:type="pct"/>
            <w:vMerge w:val="restart"/>
            <w:noWrap w:val="0"/>
            <w:vAlign w:val="center"/>
          </w:tcPr>
          <w:p>
            <w:pPr>
              <w:jc w:val="center"/>
              <w:rPr>
                <w:rFonts w:hint="eastAsia" w:eastAsia="宋体"/>
                <w:sz w:val="24"/>
                <w:szCs w:val="24"/>
                <w:lang w:val="en-US" w:eastAsia="zh-CN"/>
              </w:rPr>
            </w:pPr>
            <w:r>
              <w:rPr>
                <w:rFonts w:hint="eastAsia"/>
                <w:sz w:val="24"/>
                <w:szCs w:val="24"/>
                <w:lang w:val="en-US" w:eastAsia="zh-CN"/>
              </w:rPr>
              <w:t>2</w:t>
            </w:r>
          </w:p>
        </w:tc>
        <w:tc>
          <w:tcPr>
            <w:tcW w:w="691" w:type="pct"/>
            <w:vMerge w:val="restart"/>
            <w:noWrap w:val="0"/>
            <w:vAlign w:val="center"/>
          </w:tcPr>
          <w:p>
            <w:pPr>
              <w:jc w:val="center"/>
              <w:rPr>
                <w:rFonts w:hint="eastAsia" w:ascii="宋体" w:hAnsi="宋体"/>
                <w:b/>
                <w:color w:val="000000"/>
                <w:sz w:val="24"/>
                <w:szCs w:val="24"/>
              </w:rPr>
            </w:pPr>
            <w:r>
              <w:rPr>
                <w:rFonts w:hint="eastAsia" w:ascii="宋体" w:hAnsi="宋体"/>
                <w:b/>
                <w:color w:val="FF0000"/>
                <w:sz w:val="24"/>
                <w:szCs w:val="24"/>
                <w:lang w:val="en-US" w:eastAsia="zh-CN"/>
              </w:rPr>
              <w:t>碳化稻壳（小袋包装外套吨包）</w:t>
            </w:r>
          </w:p>
        </w:tc>
        <w:tc>
          <w:tcPr>
            <w:tcW w:w="680" w:type="pct"/>
            <w:vMerge w:val="restart"/>
            <w:noWrap w:val="0"/>
            <w:vAlign w:val="center"/>
          </w:tcPr>
          <w:p>
            <w:pPr>
              <w:jc w:val="center"/>
              <w:rPr>
                <w:rFonts w:hint="eastAsia"/>
                <w:sz w:val="24"/>
                <w:szCs w:val="24"/>
              </w:rPr>
            </w:pPr>
            <w:r>
              <w:rPr>
                <w:rFonts w:hint="eastAsia"/>
                <w:sz w:val="24"/>
                <w:szCs w:val="24"/>
                <w:lang w:val="en-US" w:eastAsia="zh-CN"/>
              </w:rPr>
              <w:t>1200吨</w:t>
            </w:r>
          </w:p>
        </w:tc>
        <w:tc>
          <w:tcPr>
            <w:tcW w:w="2168" w:type="pct"/>
            <w:noWrap w:val="0"/>
            <w:vAlign w:val="top"/>
          </w:tcPr>
          <w:p>
            <w:pPr>
              <w:jc w:val="left"/>
              <w:rPr>
                <w:rFonts w:hint="eastAsia"/>
                <w:sz w:val="24"/>
                <w:szCs w:val="24"/>
              </w:rPr>
            </w:pPr>
          </w:p>
          <w:p>
            <w:pPr>
              <w:jc w:val="left"/>
              <w:rPr>
                <w:rFonts w:hint="eastAsia" w:ascii="Times New Roman" w:hAnsi="Times New Roman" w:eastAsia="宋体" w:cs="Times New Roman"/>
                <w:kern w:val="2"/>
                <w:sz w:val="24"/>
                <w:szCs w:val="24"/>
                <w:lang w:val="en-US" w:eastAsia="zh-CN" w:bidi="ar-SA"/>
              </w:rPr>
            </w:pPr>
            <w:r>
              <w:rPr>
                <w:rFonts w:hint="eastAsia"/>
                <w:sz w:val="24"/>
                <w:szCs w:val="24"/>
              </w:rPr>
              <w:t>小写：</w:t>
            </w:r>
          </w:p>
        </w:tc>
        <w:tc>
          <w:tcPr>
            <w:tcW w:w="1126"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3"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168" w:type="pct"/>
            <w:noWrap w:val="0"/>
            <w:vAlign w:val="top"/>
          </w:tcPr>
          <w:p>
            <w:pPr>
              <w:jc w:val="left"/>
              <w:rPr>
                <w:rFonts w:hint="eastAsia"/>
                <w:sz w:val="24"/>
                <w:szCs w:val="24"/>
              </w:rPr>
            </w:pPr>
          </w:p>
          <w:p>
            <w:pPr>
              <w:jc w:val="left"/>
              <w:rPr>
                <w:rFonts w:hint="eastAsia" w:ascii="Times New Roman" w:hAnsi="Times New Roman" w:eastAsia="宋体" w:cs="Times New Roman"/>
                <w:kern w:val="2"/>
                <w:sz w:val="24"/>
                <w:szCs w:val="24"/>
                <w:lang w:val="en-US" w:eastAsia="zh-CN" w:bidi="ar-SA"/>
              </w:rPr>
            </w:pPr>
            <w:r>
              <w:rPr>
                <w:rFonts w:hint="eastAsia"/>
                <w:sz w:val="24"/>
                <w:szCs w:val="24"/>
              </w:rPr>
              <w:t>大写：</w:t>
            </w:r>
          </w:p>
        </w:tc>
        <w:tc>
          <w:tcPr>
            <w:tcW w:w="1126"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noWrap w:val="0"/>
            <w:vAlign w:val="top"/>
          </w:tcPr>
          <w:p>
            <w:pPr>
              <w:rPr>
                <w:rFonts w:hint="default" w:eastAsia="宋体"/>
                <w:sz w:val="28"/>
                <w:szCs w:val="28"/>
                <w:lang w:val="en-US" w:eastAsia="zh-CN"/>
              </w:rPr>
            </w:pPr>
            <w:r>
              <w:rPr>
                <w:rFonts w:hint="eastAsia"/>
                <w:sz w:val="28"/>
                <w:szCs w:val="28"/>
              </w:rPr>
              <w:t>备注: 以上报价含税、含运费，一票制</w:t>
            </w:r>
            <w:r>
              <w:rPr>
                <w:rFonts w:hint="eastAsia"/>
                <w:sz w:val="28"/>
                <w:szCs w:val="28"/>
                <w:lang w:eastAsia="zh-CN"/>
              </w:rPr>
              <w:t>，税率为</w:t>
            </w:r>
            <w:r>
              <w:rPr>
                <w:rFonts w:hint="eastAsia"/>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6CD0957"/>
    <w:rsid w:val="075D347C"/>
    <w:rsid w:val="076B286F"/>
    <w:rsid w:val="07BA48CA"/>
    <w:rsid w:val="0831406E"/>
    <w:rsid w:val="085B58B3"/>
    <w:rsid w:val="08A96692"/>
    <w:rsid w:val="0B5E1A54"/>
    <w:rsid w:val="0BFF25BD"/>
    <w:rsid w:val="0CBC295F"/>
    <w:rsid w:val="0D2F279C"/>
    <w:rsid w:val="0DB86FBC"/>
    <w:rsid w:val="0DF07D84"/>
    <w:rsid w:val="0E473B34"/>
    <w:rsid w:val="0E497616"/>
    <w:rsid w:val="0E842CB1"/>
    <w:rsid w:val="0F0803D8"/>
    <w:rsid w:val="0F347211"/>
    <w:rsid w:val="0F347723"/>
    <w:rsid w:val="0FF92A60"/>
    <w:rsid w:val="10492302"/>
    <w:rsid w:val="10CA64E1"/>
    <w:rsid w:val="110928F7"/>
    <w:rsid w:val="11654D47"/>
    <w:rsid w:val="13147361"/>
    <w:rsid w:val="135C10D5"/>
    <w:rsid w:val="139F3DA1"/>
    <w:rsid w:val="13D576D7"/>
    <w:rsid w:val="14772C2B"/>
    <w:rsid w:val="14881933"/>
    <w:rsid w:val="154D48F1"/>
    <w:rsid w:val="158A4695"/>
    <w:rsid w:val="16541AFE"/>
    <w:rsid w:val="1694444C"/>
    <w:rsid w:val="17131114"/>
    <w:rsid w:val="1724223F"/>
    <w:rsid w:val="176A7E91"/>
    <w:rsid w:val="17F97F08"/>
    <w:rsid w:val="181A14FA"/>
    <w:rsid w:val="181D079B"/>
    <w:rsid w:val="184123DC"/>
    <w:rsid w:val="18560C92"/>
    <w:rsid w:val="18ED4DB4"/>
    <w:rsid w:val="19B16948"/>
    <w:rsid w:val="1A3B5C8E"/>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0A256AD"/>
    <w:rsid w:val="21133B37"/>
    <w:rsid w:val="21534F77"/>
    <w:rsid w:val="21A2160C"/>
    <w:rsid w:val="21E966E6"/>
    <w:rsid w:val="22B96773"/>
    <w:rsid w:val="22E00851"/>
    <w:rsid w:val="235C23EB"/>
    <w:rsid w:val="23CB766B"/>
    <w:rsid w:val="23D22DCD"/>
    <w:rsid w:val="246A25A2"/>
    <w:rsid w:val="25206CD2"/>
    <w:rsid w:val="25230E4D"/>
    <w:rsid w:val="25B129B0"/>
    <w:rsid w:val="25F839CE"/>
    <w:rsid w:val="268D7081"/>
    <w:rsid w:val="269D4ADA"/>
    <w:rsid w:val="26F50CB1"/>
    <w:rsid w:val="26F906B4"/>
    <w:rsid w:val="278055FF"/>
    <w:rsid w:val="288D3DC5"/>
    <w:rsid w:val="28E2171B"/>
    <w:rsid w:val="29401D6D"/>
    <w:rsid w:val="2AF17F5F"/>
    <w:rsid w:val="2BBB5AD5"/>
    <w:rsid w:val="2BF10F3E"/>
    <w:rsid w:val="2BF40243"/>
    <w:rsid w:val="2C204052"/>
    <w:rsid w:val="2C4E01C4"/>
    <w:rsid w:val="2CF31D5E"/>
    <w:rsid w:val="2E3D1B0F"/>
    <w:rsid w:val="2EA431DB"/>
    <w:rsid w:val="2EDD294B"/>
    <w:rsid w:val="2F163A70"/>
    <w:rsid w:val="3036622A"/>
    <w:rsid w:val="30474844"/>
    <w:rsid w:val="30CA3841"/>
    <w:rsid w:val="3130279D"/>
    <w:rsid w:val="31DF7B93"/>
    <w:rsid w:val="324F62A8"/>
    <w:rsid w:val="32F7522E"/>
    <w:rsid w:val="339D246B"/>
    <w:rsid w:val="342060A8"/>
    <w:rsid w:val="34BB556C"/>
    <w:rsid w:val="35212328"/>
    <w:rsid w:val="358603F2"/>
    <w:rsid w:val="36A65EF8"/>
    <w:rsid w:val="36FB2C59"/>
    <w:rsid w:val="373827F1"/>
    <w:rsid w:val="379345D1"/>
    <w:rsid w:val="37974BFF"/>
    <w:rsid w:val="37BE23C2"/>
    <w:rsid w:val="37F27DC4"/>
    <w:rsid w:val="387F2F2C"/>
    <w:rsid w:val="3A3F65BD"/>
    <w:rsid w:val="3A4A65B1"/>
    <w:rsid w:val="3A773720"/>
    <w:rsid w:val="3AFC391A"/>
    <w:rsid w:val="3B080827"/>
    <w:rsid w:val="3B14535E"/>
    <w:rsid w:val="3C3E683E"/>
    <w:rsid w:val="3C456A69"/>
    <w:rsid w:val="3C487023"/>
    <w:rsid w:val="3C887586"/>
    <w:rsid w:val="3D5A40AB"/>
    <w:rsid w:val="3DB441B2"/>
    <w:rsid w:val="3DD2066D"/>
    <w:rsid w:val="3DD452AF"/>
    <w:rsid w:val="3DD967AA"/>
    <w:rsid w:val="3E371640"/>
    <w:rsid w:val="3E66724B"/>
    <w:rsid w:val="3E977DE0"/>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7C4036"/>
    <w:rsid w:val="43DE4636"/>
    <w:rsid w:val="44367FF1"/>
    <w:rsid w:val="4500284B"/>
    <w:rsid w:val="45407B03"/>
    <w:rsid w:val="45C004AA"/>
    <w:rsid w:val="46587D68"/>
    <w:rsid w:val="46C0533F"/>
    <w:rsid w:val="47847BD9"/>
    <w:rsid w:val="47AD4330"/>
    <w:rsid w:val="47BE1284"/>
    <w:rsid w:val="48582775"/>
    <w:rsid w:val="48E1049E"/>
    <w:rsid w:val="49280B38"/>
    <w:rsid w:val="492C5B3D"/>
    <w:rsid w:val="49A4783E"/>
    <w:rsid w:val="4A85340F"/>
    <w:rsid w:val="4ACE7F4F"/>
    <w:rsid w:val="4AED65F2"/>
    <w:rsid w:val="4B635392"/>
    <w:rsid w:val="4BA21255"/>
    <w:rsid w:val="4DC66F68"/>
    <w:rsid w:val="4E157235"/>
    <w:rsid w:val="4F8D23E3"/>
    <w:rsid w:val="508B5665"/>
    <w:rsid w:val="514F2EE0"/>
    <w:rsid w:val="51A458AF"/>
    <w:rsid w:val="52E54E97"/>
    <w:rsid w:val="52EE0AE7"/>
    <w:rsid w:val="536967A8"/>
    <w:rsid w:val="53AB6FFE"/>
    <w:rsid w:val="5450552C"/>
    <w:rsid w:val="554C057B"/>
    <w:rsid w:val="56065626"/>
    <w:rsid w:val="562E1D47"/>
    <w:rsid w:val="566E6D8E"/>
    <w:rsid w:val="56FF0A43"/>
    <w:rsid w:val="57AC75B3"/>
    <w:rsid w:val="57D705F2"/>
    <w:rsid w:val="57E13E87"/>
    <w:rsid w:val="57F27FDC"/>
    <w:rsid w:val="598A03E4"/>
    <w:rsid w:val="5AAF6E02"/>
    <w:rsid w:val="5AEA3AD0"/>
    <w:rsid w:val="5B176A85"/>
    <w:rsid w:val="5B1D2529"/>
    <w:rsid w:val="5B35349E"/>
    <w:rsid w:val="5B3F7D83"/>
    <w:rsid w:val="5B527398"/>
    <w:rsid w:val="5BA959B9"/>
    <w:rsid w:val="5CC70FAC"/>
    <w:rsid w:val="5D173705"/>
    <w:rsid w:val="5D1B4B8A"/>
    <w:rsid w:val="5D7A461C"/>
    <w:rsid w:val="5D915ACD"/>
    <w:rsid w:val="5E093F5D"/>
    <w:rsid w:val="5E611270"/>
    <w:rsid w:val="5EB2026E"/>
    <w:rsid w:val="5FE13E30"/>
    <w:rsid w:val="61033D16"/>
    <w:rsid w:val="623E76D0"/>
    <w:rsid w:val="625B24D7"/>
    <w:rsid w:val="62CD795C"/>
    <w:rsid w:val="6438579B"/>
    <w:rsid w:val="655749FB"/>
    <w:rsid w:val="65E5671A"/>
    <w:rsid w:val="66EA0C9A"/>
    <w:rsid w:val="66FB3BC1"/>
    <w:rsid w:val="67023348"/>
    <w:rsid w:val="678F7868"/>
    <w:rsid w:val="67FA67CD"/>
    <w:rsid w:val="686F59C5"/>
    <w:rsid w:val="68985C4A"/>
    <w:rsid w:val="68BB275A"/>
    <w:rsid w:val="68CD7E6A"/>
    <w:rsid w:val="695E0A51"/>
    <w:rsid w:val="6AE713EB"/>
    <w:rsid w:val="6B015D37"/>
    <w:rsid w:val="6B9014C7"/>
    <w:rsid w:val="6C7B13C4"/>
    <w:rsid w:val="6CA73029"/>
    <w:rsid w:val="6D027CD6"/>
    <w:rsid w:val="6D4624D3"/>
    <w:rsid w:val="6DD71BCE"/>
    <w:rsid w:val="6E3164EF"/>
    <w:rsid w:val="6E550ED4"/>
    <w:rsid w:val="6EA5652C"/>
    <w:rsid w:val="6ED71557"/>
    <w:rsid w:val="6F0C38CA"/>
    <w:rsid w:val="706A3FF6"/>
    <w:rsid w:val="70737BDA"/>
    <w:rsid w:val="70D03715"/>
    <w:rsid w:val="70E0155E"/>
    <w:rsid w:val="711219DD"/>
    <w:rsid w:val="713C5670"/>
    <w:rsid w:val="719201E7"/>
    <w:rsid w:val="71E32763"/>
    <w:rsid w:val="71F96DCA"/>
    <w:rsid w:val="72107C5B"/>
    <w:rsid w:val="732D2693"/>
    <w:rsid w:val="73476175"/>
    <w:rsid w:val="7357254E"/>
    <w:rsid w:val="73611393"/>
    <w:rsid w:val="749D6575"/>
    <w:rsid w:val="754F1E1A"/>
    <w:rsid w:val="75913B2F"/>
    <w:rsid w:val="761859F6"/>
    <w:rsid w:val="76206BC5"/>
    <w:rsid w:val="773210D8"/>
    <w:rsid w:val="77846985"/>
    <w:rsid w:val="778A5616"/>
    <w:rsid w:val="77F80B55"/>
    <w:rsid w:val="780E1C86"/>
    <w:rsid w:val="784D0939"/>
    <w:rsid w:val="78C639C7"/>
    <w:rsid w:val="78E1515C"/>
    <w:rsid w:val="790731F3"/>
    <w:rsid w:val="790756AF"/>
    <w:rsid w:val="7949658A"/>
    <w:rsid w:val="794976A2"/>
    <w:rsid w:val="797A02ED"/>
    <w:rsid w:val="79B23223"/>
    <w:rsid w:val="79B55491"/>
    <w:rsid w:val="79DE1204"/>
    <w:rsid w:val="7A447EB1"/>
    <w:rsid w:val="7A6263B1"/>
    <w:rsid w:val="7A757773"/>
    <w:rsid w:val="7A903FDB"/>
    <w:rsid w:val="7ADF17B7"/>
    <w:rsid w:val="7AEB0EA5"/>
    <w:rsid w:val="7AF9718A"/>
    <w:rsid w:val="7B386B42"/>
    <w:rsid w:val="7BBC102F"/>
    <w:rsid w:val="7BBE20B8"/>
    <w:rsid w:val="7BD509C2"/>
    <w:rsid w:val="7BDC0741"/>
    <w:rsid w:val="7C070CDC"/>
    <w:rsid w:val="7C9625E2"/>
    <w:rsid w:val="7D0716F9"/>
    <w:rsid w:val="7D2A47F3"/>
    <w:rsid w:val="7F2E3F67"/>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2021-09-19T06:23:58Z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71F8D6A5C35C477290E34F89B7CB6071</vt:lpwstr>
  </property>
</Properties>
</file>