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低氮增碳剂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22</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WHXX</w:t>
      </w:r>
      <w:r>
        <w:rPr>
          <w:rFonts w:hint="eastAsia" w:ascii="宋体" w:hAnsi="宋体"/>
          <w:u w:val="single"/>
          <w:lang w:val="en-US" w:eastAsia="zh-CN"/>
        </w:rPr>
        <w:t>2021090016DDZTJ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低氮增碳剂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招标办：       石  </w:t>
      </w:r>
      <w:r>
        <w:rPr>
          <w:rFonts w:hint="eastAsia" w:ascii="宋体" w:hAnsi="宋体" w:cs="Times New Roman"/>
          <w:kern w:val="2"/>
          <w:sz w:val="24"/>
          <w:szCs w:val="24"/>
          <w:lang w:val="en-US" w:eastAsia="zh-CN" w:bidi="ar-SA"/>
        </w:rPr>
        <w:t>工</w:t>
      </w:r>
      <w:r>
        <w:rPr>
          <w:rFonts w:hint="eastAsia" w:ascii="宋体" w:hAnsi="宋体" w:eastAsia="宋体" w:cs="Times New Roman"/>
          <w:kern w:val="2"/>
          <w:sz w:val="24"/>
          <w:szCs w:val="24"/>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刘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highlight w:val="none"/>
          <w:lang w:val="en-US" w:eastAsia="zh-CN" w:bidi="ar-SA"/>
        </w:rPr>
        <w:t>18794814364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28</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30日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28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要求参标厂家，具备相应的生产能力。</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低氮增碳剂630</w:t>
      </w:r>
      <w:r>
        <w:rPr>
          <w:rFonts w:hint="eastAsia" w:ascii="宋体" w:hAnsi="宋体"/>
          <w:b/>
          <w:color w:val="FF0000"/>
          <w:sz w:val="24"/>
          <w:szCs w:val="24"/>
        </w:rPr>
        <w:t>吨（</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p>
    <w:p>
      <w:pPr>
        <w:jc w:val="center"/>
        <w:rPr>
          <w:rFonts w:hint="eastAsia"/>
          <w:b/>
          <w:color w:val="auto"/>
          <w:sz w:val="36"/>
          <w:szCs w:val="36"/>
          <w:u w:val="none" w:color="auto"/>
          <w:lang w:eastAsia="zh-CN"/>
        </w:rPr>
      </w:pPr>
      <w:r>
        <w:rPr>
          <w:rFonts w:hint="eastAsia"/>
          <w:b/>
          <w:color w:val="auto"/>
          <w:sz w:val="36"/>
          <w:szCs w:val="36"/>
          <w:u w:val="none" w:color="auto"/>
        </w:rPr>
        <w:t>低氮增碳剂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本标准规定了炼钢低氮增碳剂的采购标准、让步接受条件、不合格处理及送货要求。</w:t>
      </w:r>
    </w:p>
    <w:p>
      <w:pPr>
        <w:keepNext w:val="0"/>
        <w:keepLines w:val="0"/>
        <w:pageBreakBefore w:val="0"/>
        <w:widowControl w:val="0"/>
        <w:numPr>
          <w:ilvl w:val="0"/>
          <w:numId w:val="1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FC%；St.d%；H2O%；N%；粒度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FC≥98%；St.d≤0.05%；H2O≤0.5%；N≤300ppm；粒度：1～5mm；小于1mm的比例≤5%；大于5mm的比例≤1%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FC≥96%；St.d≤0.15%；H2O≤0.7%；N≤400ppm；小于1mm的比例≤7%；大于5mm的比例≤2%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1、FC超出标准在让步接收范围内，97%≤C＜98%间，每下降0.1%，合同价格降0.5%;96%≤C＜97%间，每下降0.1%，合同价格降1%；超出让步范围原则上退货或改判为普通增碳剂结算。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2、St.d超出标准在让步范围内，每上升0.01%，合同价格降0.5%；超出让步退货或改判普通增碳剂结算。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3、0.5%＜H2O≤0.7%，每增加0.1%，合同价格降2%，H2O＞0.7%，作退货处理。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4、N超出标准在让步范围内，300ppm&lt;[N]≤400ppm，每上升1ppm，合同价格降0.1%，超出400ppm（0.04%），按拒收或普通增碳剂结算。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5、粒度超出标准在让步范围内，按超出部分扣吨。超出让步退货或按超出吨位双倍扣吨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2" w:firstLineChars="20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3.其他要求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3.1</w:t>
      </w:r>
      <w:r>
        <w:rPr>
          <w:rFonts w:hint="default"/>
          <w:b w:val="0"/>
          <w:bCs/>
          <w:color w:val="auto"/>
          <w:sz w:val="24"/>
          <w:szCs w:val="24"/>
          <w:u w:val="none" w:color="auto"/>
          <w:lang w:val="en-US" w:eastAsia="zh-CN"/>
        </w:rPr>
        <w:t>包装要求：</w:t>
      </w:r>
      <w:r>
        <w:rPr>
          <w:rFonts w:hint="eastAsia"/>
          <w:b w:val="0"/>
          <w:bCs/>
          <w:color w:val="auto"/>
          <w:sz w:val="24"/>
          <w:szCs w:val="24"/>
          <w:u w:val="none" w:color="auto"/>
          <w:lang w:val="en-US" w:eastAsia="zh-CN"/>
        </w:rPr>
        <w:t>内小袋重量</w:t>
      </w:r>
      <w:r>
        <w:rPr>
          <w:rFonts w:hint="default"/>
          <w:b w:val="0"/>
          <w:bCs/>
          <w:color w:val="auto"/>
          <w:sz w:val="24"/>
          <w:szCs w:val="24"/>
          <w:u w:val="none" w:color="auto"/>
          <w:lang w:val="en-US" w:eastAsia="zh-CN"/>
        </w:rPr>
        <w:t>15±0.2KG。四层包装，</w:t>
      </w:r>
      <w:r>
        <w:rPr>
          <w:rFonts w:hint="eastAsia"/>
          <w:b w:val="0"/>
          <w:bCs/>
          <w:color w:val="auto"/>
          <w:sz w:val="24"/>
          <w:szCs w:val="24"/>
          <w:u w:val="none" w:color="auto"/>
          <w:lang w:val="en-US" w:eastAsia="zh-CN"/>
        </w:rPr>
        <w:t>做好防潮措施，吨袋包装外层和小袋包装外层为编织袋，吨袋包装内层和小袋包装内层为厚塑料袋。塑料袋具有一定强度，保证质量，不易刺破，起到防潮效果，吨袋内膜要求扎口。吨袋</w:t>
      </w:r>
      <w:r>
        <w:rPr>
          <w:rFonts w:hint="default"/>
          <w:b w:val="0"/>
          <w:bCs/>
          <w:color w:val="auto"/>
          <w:sz w:val="24"/>
          <w:szCs w:val="24"/>
          <w:u w:val="none" w:color="auto"/>
          <w:lang w:val="en-US" w:eastAsia="zh-CN"/>
        </w:rPr>
        <w:t>包装袋上必须注明物资名称、生产厂家、包装重量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，小包装袋上必须注明物资名称、重量等信息。</w:t>
      </w:r>
      <w:r>
        <w:rPr>
          <w:rFonts w:hint="default"/>
          <w:b w:val="0"/>
          <w:bCs/>
          <w:color w:val="auto"/>
          <w:sz w:val="24"/>
          <w:szCs w:val="24"/>
          <w:u w:val="none" w:color="auto"/>
          <w:lang w:val="en-US" w:eastAsia="zh-CN"/>
        </w:rPr>
        <w:t>如包装重量发生变化，提前通知供货厂家并进行调整。大袋包装重量为</w:t>
      </w:r>
      <w:r>
        <w:rPr>
          <w:rFonts w:hint="eastAsia"/>
          <w:b w:val="0"/>
          <w:bCs/>
          <w:color w:val="auto"/>
          <w:sz w:val="24"/>
          <w:szCs w:val="24"/>
          <w:u w:val="none" w:color="auto"/>
          <w:lang w:val="en-US" w:eastAsia="zh-CN"/>
        </w:rPr>
        <w:t>60</w:t>
      </w:r>
      <w:r>
        <w:rPr>
          <w:rFonts w:hint="default"/>
          <w:b w:val="0"/>
          <w:bCs/>
          <w:color w:val="auto"/>
          <w:sz w:val="24"/>
          <w:szCs w:val="24"/>
          <w:u w:val="none" w:color="auto"/>
          <w:lang w:val="en-US" w:eastAsia="zh-CN"/>
        </w:rPr>
        <w:t>0公斤包装。</w:t>
      </w:r>
      <w:r>
        <w:rPr>
          <w:rFonts w:hint="eastAsia"/>
          <w:b w:val="0"/>
          <w:bCs/>
          <w:color w:val="auto"/>
          <w:sz w:val="24"/>
          <w:szCs w:val="24"/>
          <w:u w:val="none" w:color="auto"/>
          <w:lang w:val="en-US" w:eastAsia="zh-CN"/>
        </w:rPr>
        <w:t>包装袋供方不回收。包装不符合要求的按200元/袋落实考核。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ascii="Times New Roman" w:hAnsi="Times New Roman" w:cs="Times New Roman"/>
          <w:b w:val="0"/>
          <w:bCs/>
          <w:color w:val="auto"/>
          <w:sz w:val="24"/>
          <w:szCs w:val="24"/>
          <w:u w:val="none" w:color="auto"/>
        </w:rPr>
      </w:pPr>
      <w:r>
        <w:rPr>
          <w:rFonts w:hint="eastAsia"/>
          <w:b w:val="0"/>
          <w:bCs/>
          <w:color w:val="auto"/>
          <w:sz w:val="24"/>
          <w:szCs w:val="24"/>
          <w:u w:val="none" w:color="auto"/>
          <w:lang w:val="en-US" w:eastAsia="zh-CN"/>
        </w:rPr>
        <w:t>3.2</w:t>
      </w:r>
      <w:r>
        <w:rPr>
          <w:rFonts w:hint="default" w:ascii="Times New Roman" w:hAnsi="Times New Roman" w:cs="Times New Roman"/>
          <w:b w:val="0"/>
          <w:bCs/>
          <w:color w:val="auto"/>
          <w:sz w:val="24"/>
          <w:szCs w:val="24"/>
          <w:u w:val="none" w:color="auto"/>
        </w:rPr>
        <w:t>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4.送货要求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5.卸货地点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低氮增碳剂卸至炼钢部库房。</w:t>
      </w:r>
    </w:p>
    <w:p>
      <w:pPr>
        <w:jc w:val="both"/>
        <w:rPr>
          <w:rFonts w:hint="eastAsia"/>
          <w:b/>
          <w:color w:val="FFFFFF"/>
          <w:sz w:val="28"/>
          <w:szCs w:val="28"/>
          <w:u w:val="none" w:color="auto"/>
          <w:lang w:val="en-US" w:eastAsia="zh-CN"/>
        </w:rPr>
      </w:pPr>
      <w:r>
        <w:rPr>
          <w:rFonts w:hint="eastAsia"/>
          <w:b/>
          <w:color w:val="FFFFFF"/>
          <w:sz w:val="28"/>
          <w:szCs w:val="28"/>
          <w:u w:val="none" w:color="auto"/>
          <w:lang w:val="en-US" w:eastAsia="zh-CN"/>
        </w:rPr>
        <w:t>增碳剂拦标价</w:t>
      </w:r>
    </w:p>
    <w:p>
      <w:pPr>
        <w:jc w:val="left"/>
        <w:rPr>
          <w:rFonts w:hint="eastAsia"/>
          <w:b/>
          <w:color w:val="auto"/>
          <w:sz w:val="24"/>
          <w:szCs w:val="24"/>
          <w:u w:val="none" w:color="auto"/>
          <w:lang w:val="en-US" w:eastAsia="zh-CN"/>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低氮增碳剂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794"/>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三</w:t>
            </w:r>
            <w:r>
              <w:rPr>
                <w:rFonts w:hint="eastAsia"/>
                <w:sz w:val="18"/>
                <w:szCs w:val="18"/>
                <w:lang w:eastAsia="zh-CN"/>
              </w:rPr>
              <w:t>个月</w:t>
            </w:r>
            <w:r>
              <w:rPr>
                <w:rFonts w:hint="eastAsia"/>
                <w:sz w:val="18"/>
                <w:szCs w:val="18"/>
              </w:rPr>
              <w:t>理论要求数量</w:t>
            </w:r>
          </w:p>
        </w:tc>
        <w:tc>
          <w:tcPr>
            <w:tcW w:w="2192"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eastAsia="宋体"/>
                <w:sz w:val="24"/>
                <w:szCs w:val="24"/>
                <w:lang w:eastAsia="zh-CN"/>
              </w:rPr>
            </w:pPr>
            <w:r>
              <w:rPr>
                <w:rFonts w:hint="eastAsia" w:ascii="宋体" w:hAnsi="宋体"/>
                <w:b/>
                <w:color w:val="000000"/>
                <w:sz w:val="28"/>
                <w:szCs w:val="28"/>
                <w:lang w:val="en-US" w:eastAsia="zh-CN"/>
              </w:rPr>
              <w:t>低氮</w:t>
            </w:r>
            <w:r>
              <w:rPr>
                <w:rFonts w:hint="eastAsia" w:ascii="宋体" w:hAnsi="宋体"/>
                <w:b/>
                <w:color w:val="000000"/>
                <w:sz w:val="28"/>
                <w:szCs w:val="28"/>
                <w:lang w:eastAsia="zh-CN"/>
              </w:rPr>
              <w:t>增碳剂</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630</w:t>
            </w:r>
            <w:bookmarkStart w:id="0" w:name="_GoBack"/>
            <w:bookmarkEnd w:id="0"/>
            <w:r>
              <w:rPr>
                <w:rFonts w:hint="eastAsia" w:ascii="宋体" w:hAnsi="宋体"/>
                <w:b/>
                <w:color w:val="FF0000"/>
                <w:sz w:val="24"/>
                <w:szCs w:val="24"/>
              </w:rPr>
              <w:t>吨</w:t>
            </w: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6"/>
    <w:multiLevelType w:val="singleLevel"/>
    <w:tmpl w:val="00000006"/>
    <w:lvl w:ilvl="0" w:tentative="0">
      <w:start w:val="2"/>
      <w:numFmt w:val="decimal"/>
      <w:suff w:val="nothing"/>
      <w:lvlText w:val="%1."/>
      <w:lvlJc w:val="left"/>
    </w:lvl>
  </w:abstractNum>
  <w:abstractNum w:abstractNumId="4">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5">
    <w:nsid w:val="0000000B"/>
    <w:multiLevelType w:val="singleLevel"/>
    <w:tmpl w:val="0000000B"/>
    <w:lvl w:ilvl="0" w:tentative="0">
      <w:start w:val="1"/>
      <w:numFmt w:val="decimal"/>
      <w:lvlText w:val="（%1）"/>
      <w:lvlJc w:val="left"/>
      <w:pPr>
        <w:tabs>
          <w:tab w:val="left" w:pos="1125"/>
        </w:tabs>
        <w:ind w:left="1125" w:hanging="705"/>
      </w:pPr>
    </w:lvl>
  </w:abstractNum>
  <w:abstractNum w:abstractNumId="6">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8">
    <w:nsid w:val="0000000E"/>
    <w:multiLevelType w:val="singleLevel"/>
    <w:tmpl w:val="0000000E"/>
    <w:lvl w:ilvl="0" w:tentative="0">
      <w:start w:val="1"/>
      <w:numFmt w:val="decimal"/>
      <w:lvlText w:val="%1、"/>
      <w:lvlJc w:val="left"/>
      <w:pPr>
        <w:tabs>
          <w:tab w:val="left" w:pos="705"/>
        </w:tabs>
        <w:ind w:left="705" w:hanging="420"/>
      </w:pPr>
    </w:lvl>
  </w:abstractNum>
  <w:abstractNum w:abstractNumId="9">
    <w:nsid w:val="2C64BC62"/>
    <w:multiLevelType w:val="singleLevel"/>
    <w:tmpl w:val="2C64BC62"/>
    <w:lvl w:ilvl="0" w:tentative="0">
      <w:start w:val="1"/>
      <w:numFmt w:val="decimal"/>
      <w:lvlText w:val="%1."/>
      <w:lvlJc w:val="left"/>
      <w:pPr>
        <w:ind w:left="425" w:hanging="425"/>
      </w:pPr>
      <w:rPr>
        <w:rFonts w:hint="default"/>
      </w:rPr>
    </w:lvl>
  </w:abstractNum>
  <w:abstractNum w:abstractNumId="10">
    <w:nsid w:val="5AE2DA4B"/>
    <w:multiLevelType w:val="singleLevel"/>
    <w:tmpl w:val="5AE2DA4B"/>
    <w:lvl w:ilvl="0" w:tentative="0">
      <w:start w:val="14"/>
      <w:numFmt w:val="chineseCounting"/>
      <w:suff w:val="nothing"/>
      <w:lvlText w:val="%1、"/>
      <w:lvlJc w:val="left"/>
      <w:rPr>
        <w:rFonts w:hint="eastAsia"/>
      </w:rPr>
    </w:lvl>
  </w:abstractNum>
  <w:num w:numId="1">
    <w:abstractNumId w:val="4"/>
    <w:lvlOverride w:ilvl="0">
      <w:startOverride w:val="1"/>
    </w:lvlOverride>
  </w:num>
  <w:num w:numId="2">
    <w:abstractNumId w:val="8"/>
    <w:lvlOverride w:ilvl="0">
      <w:startOverride w:val="1"/>
    </w:lvlOverride>
  </w:num>
  <w:num w:numId="3">
    <w:abstractNumId w:val="7"/>
    <w:lvlOverride w:ilvl="0">
      <w:startOverride w:val="1"/>
    </w:lvlOverride>
  </w:num>
  <w:num w:numId="4">
    <w:abstractNumId w:val="5"/>
    <w:lvlOverride w:ilvl="0">
      <w:startOverride w:val="1"/>
    </w:lvlOverride>
  </w:num>
  <w:num w:numId="5">
    <w:abstractNumId w:val="6"/>
  </w:num>
  <w:num w:numId="6">
    <w:abstractNumId w:val="9"/>
  </w:num>
  <w:num w:numId="7">
    <w:abstractNumId w:val="10"/>
  </w:num>
  <w:num w:numId="8">
    <w:abstractNumId w:val="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57F42"/>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9345D1"/>
    <w:rsid w:val="37974BFF"/>
    <w:rsid w:val="37BE23C2"/>
    <w:rsid w:val="37F02022"/>
    <w:rsid w:val="37F27DC4"/>
    <w:rsid w:val="37FA0AD6"/>
    <w:rsid w:val="383E2980"/>
    <w:rsid w:val="387F2F2C"/>
    <w:rsid w:val="3A3F65BD"/>
    <w:rsid w:val="3A773720"/>
    <w:rsid w:val="3AFC391A"/>
    <w:rsid w:val="3B14535E"/>
    <w:rsid w:val="3C036E6F"/>
    <w:rsid w:val="3C3E683E"/>
    <w:rsid w:val="3C456A69"/>
    <w:rsid w:val="3C487023"/>
    <w:rsid w:val="3C887586"/>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A706B0"/>
    <w:rsid w:val="41BF02F4"/>
    <w:rsid w:val="422E1FDF"/>
    <w:rsid w:val="423C71D1"/>
    <w:rsid w:val="426213B7"/>
    <w:rsid w:val="42CE1EFE"/>
    <w:rsid w:val="435C1211"/>
    <w:rsid w:val="43DE4636"/>
    <w:rsid w:val="44106AE0"/>
    <w:rsid w:val="44367FF1"/>
    <w:rsid w:val="4500284B"/>
    <w:rsid w:val="45270E1A"/>
    <w:rsid w:val="45407B03"/>
    <w:rsid w:val="45C004AA"/>
    <w:rsid w:val="46587D68"/>
    <w:rsid w:val="46CC5915"/>
    <w:rsid w:val="47847BD9"/>
    <w:rsid w:val="47AD4330"/>
    <w:rsid w:val="48582775"/>
    <w:rsid w:val="48836EA0"/>
    <w:rsid w:val="48C72F43"/>
    <w:rsid w:val="48E1049E"/>
    <w:rsid w:val="49056F4D"/>
    <w:rsid w:val="49280B38"/>
    <w:rsid w:val="492C5B3D"/>
    <w:rsid w:val="49A4783E"/>
    <w:rsid w:val="4A790DED"/>
    <w:rsid w:val="4A85340F"/>
    <w:rsid w:val="4ACE7F4F"/>
    <w:rsid w:val="4AED65F2"/>
    <w:rsid w:val="4B635392"/>
    <w:rsid w:val="4BA21255"/>
    <w:rsid w:val="4DC66F68"/>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53255C"/>
    <w:rsid w:val="678F7868"/>
    <w:rsid w:val="686F59C5"/>
    <w:rsid w:val="68985C4A"/>
    <w:rsid w:val="689E19C8"/>
    <w:rsid w:val="68BB275A"/>
    <w:rsid w:val="695E0A51"/>
    <w:rsid w:val="6AE713EB"/>
    <w:rsid w:val="6B015D37"/>
    <w:rsid w:val="6B8D7C67"/>
    <w:rsid w:val="6B9014C7"/>
    <w:rsid w:val="6C7B13C4"/>
    <w:rsid w:val="6C7F53F5"/>
    <w:rsid w:val="6CA73029"/>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2021-09-22T08:55:55Z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