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sz w:val="44"/>
          <w:szCs w:val="44"/>
        </w:rPr>
      </w:pPr>
      <w:r>
        <w:rPr>
          <w:rFonts w:hint="eastAsia" w:ascii="宋体" w:hAnsi="宋体" w:cs="宋体"/>
          <w:b/>
          <w:sz w:val="44"/>
          <w:szCs w:val="44"/>
        </w:rPr>
        <w:t>120吨转炉滑板挡渣承包项目技术协议</w:t>
      </w:r>
    </w:p>
    <w:p>
      <w:pPr>
        <w:spacing w:line="360" w:lineRule="exact"/>
        <w:ind w:firstLine="480" w:firstLineChars="200"/>
        <w:rPr>
          <w:rFonts w:ascii="宋体" w:hAnsi="宋体" w:cs="宋体"/>
          <w:sz w:val="24"/>
          <w:szCs w:val="24"/>
        </w:rPr>
      </w:pPr>
      <w:r>
        <w:rPr>
          <w:rFonts w:hint="eastAsia" w:ascii="宋体" w:hAnsi="宋体" w:cs="宋体"/>
          <w:sz w:val="24"/>
          <w:szCs w:val="24"/>
        </w:rPr>
        <w:t>芜湖新兴铸管有限责任公司(以下简称甲方)：</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                       （以下简称乙方）：</w:t>
      </w:r>
    </w:p>
    <w:p>
      <w:pPr>
        <w:spacing w:line="360" w:lineRule="auto"/>
        <w:ind w:firstLine="480" w:firstLineChars="200"/>
        <w:rPr>
          <w:rFonts w:ascii="宋体" w:hAnsi="宋体" w:cs="宋体"/>
          <w:sz w:val="24"/>
          <w:szCs w:val="24"/>
        </w:rPr>
      </w:pPr>
      <w:r>
        <w:rPr>
          <w:rFonts w:hint="eastAsia" w:ascii="宋体" w:hAnsi="宋体" w:cs="宋体"/>
          <w:sz w:val="24"/>
          <w:szCs w:val="24"/>
        </w:rPr>
        <w:t>根据国家现行的法律、法规和政策之规定，就芜湖新兴铸管有限责任公司炼钢部120T转炉滑板挡渣承包项目，经友好协商，达成如下技术协议：</w:t>
      </w:r>
    </w:p>
    <w:p>
      <w:pPr>
        <w:spacing w:line="360" w:lineRule="auto"/>
        <w:jc w:val="both"/>
        <w:rPr>
          <w:rFonts w:ascii="宋体" w:hAnsi="宋体" w:cs="宋体"/>
          <w:b/>
          <w:bCs/>
          <w:sz w:val="24"/>
          <w:szCs w:val="24"/>
        </w:rPr>
      </w:pPr>
      <w:r>
        <w:rPr>
          <w:rFonts w:hint="eastAsia" w:ascii="宋体" w:hAnsi="宋体" w:cs="宋体"/>
          <w:b/>
          <w:bCs/>
          <w:sz w:val="24"/>
          <w:szCs w:val="24"/>
        </w:rPr>
        <w:t>一、承包范围</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芜湖新兴铸管有限责任公司炼钢部120T转炉滑板挡渣</w:t>
      </w:r>
      <w:r>
        <w:rPr>
          <w:rFonts w:hint="eastAsia" w:ascii="宋体" w:hAnsi="宋体" w:cs="宋体"/>
          <w:sz w:val="24"/>
          <w:szCs w:val="24"/>
          <w:lang w:eastAsia="zh-CN"/>
        </w:rPr>
        <w:t>耐材、相关设备备件更换、劳务承包。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szCs w:val="24"/>
          <w:lang w:eastAsia="zh-CN"/>
        </w:rPr>
      </w:pPr>
      <w:r>
        <w:rPr>
          <w:rFonts w:hint="eastAsia" w:ascii="宋体" w:hAnsi="宋体" w:cs="宋体"/>
          <w:sz w:val="24"/>
          <w:szCs w:val="24"/>
          <w:lang w:eastAsia="zh-CN"/>
        </w:rPr>
        <w:t>耐材</w:t>
      </w:r>
    </w:p>
    <w:p>
      <w:pPr>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出钢口、内</w:t>
      </w:r>
      <w:r>
        <w:rPr>
          <w:rFonts w:hint="eastAsia" w:ascii="宋体" w:hAnsi="宋体" w:cs="宋体"/>
          <w:sz w:val="24"/>
          <w:szCs w:val="24"/>
        </w:rPr>
        <w:t>水口砖、外水口砖、内滑板砖、外滑板砖、耐火泥、耐火防黏结涂料</w:t>
      </w:r>
      <w:r>
        <w:rPr>
          <w:rFonts w:hint="eastAsia" w:ascii="宋体" w:hAnsi="宋体" w:cs="宋体"/>
          <w:color w:val="FF0000"/>
          <w:sz w:val="24"/>
          <w:szCs w:val="24"/>
          <w:lang w:eastAsia="zh-CN"/>
        </w:rPr>
        <w:t>等</w:t>
      </w:r>
      <w:r>
        <w:rPr>
          <w:rFonts w:hint="eastAsia" w:ascii="宋体" w:hAnsi="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设备及备件</w:t>
      </w:r>
    </w:p>
    <w:tbl>
      <w:tblPr>
        <w:tblStyle w:val="4"/>
        <w:tblpPr w:leftFromText="180" w:rightFromText="180" w:vertAnchor="text" w:horzAnchor="page" w:tblpX="1506" w:tblpY="167"/>
        <w:tblOverlap w:val="never"/>
        <w:tblW w:w="44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9"/>
        <w:gridCol w:w="4748"/>
        <w:gridCol w:w="3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2566"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名     称</w:t>
            </w:r>
          </w:p>
        </w:tc>
        <w:tc>
          <w:tcPr>
            <w:tcW w:w="1854"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256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185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基准板部件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含紧固件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连接板部件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含紧固件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出钢口法兰</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滑板挡渣机构</w:t>
            </w:r>
          </w:p>
        </w:tc>
        <w:tc>
          <w:tcPr>
            <w:tcW w:w="1854"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lang w:eastAsia="zh-CN"/>
              </w:rPr>
              <w:t>含机构内部组件</w:t>
            </w: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水冷油缸组件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进口氟橡胶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油缸隔热板部件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lang w:eastAsia="zh-CN"/>
              </w:rPr>
              <w:t>双</w:t>
            </w:r>
            <w:r>
              <w:rPr>
                <w:rFonts w:hint="eastAsia" w:ascii="宋体" w:hAnsi="宋体" w:cs="宋体"/>
                <w:b w:val="0"/>
                <w:bCs w:val="0"/>
                <w:kern w:val="0"/>
                <w:szCs w:val="21"/>
              </w:rPr>
              <w:t>工位机构调试台（含机构吊具2件）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机构运输存放架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lang w:eastAsia="zh-CN"/>
              </w:rPr>
              <w:t>含电葫芦</w:t>
            </w:r>
            <w:r>
              <w:rPr>
                <w:rFonts w:hint="eastAsia" w:ascii="宋体" w:hAnsi="宋体" w:cs="宋体"/>
                <w:color w:val="000000"/>
                <w:kern w:val="0"/>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离线油缸组件（三工位）</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b w:val="0"/>
                <w:bCs w:val="0"/>
                <w:kern w:val="0"/>
                <w:szCs w:val="21"/>
                <w:lang w:eastAsia="zh-CN"/>
              </w:rPr>
            </w:pPr>
            <w:r>
              <w:rPr>
                <w:rFonts w:hint="eastAsia" w:ascii="宋体" w:hAnsi="宋体" w:cs="宋体"/>
                <w:b w:val="0"/>
                <w:bCs w:val="0"/>
                <w:color w:val="FF0000"/>
                <w:kern w:val="0"/>
                <w:szCs w:val="21"/>
              </w:rPr>
              <w:t>机构更换架</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eastAsia="zh-CN"/>
              </w:rPr>
              <w:t>含电动导链及电器元件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油缸托座组件（油缸支撑座）</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r>
              <w:rPr>
                <w:rFonts w:hint="eastAsia" w:ascii="宋体" w:hAnsi="宋体" w:cs="宋体"/>
                <w:color w:val="000000"/>
                <w:kern w:val="0"/>
                <w:szCs w:val="21"/>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离线液压站（三阀组）</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256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离线液压站用抗磨液压油</w:t>
            </w:r>
          </w:p>
        </w:tc>
        <w:tc>
          <w:tcPr>
            <w:tcW w:w="1854"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color w:val="000000"/>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8"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lang w:val="en-US" w:eastAsia="zh-CN"/>
              </w:rPr>
              <w:t>14</w:t>
            </w:r>
          </w:p>
        </w:tc>
        <w:tc>
          <w:tcPr>
            <w:tcW w:w="256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eastAsia="zh-CN"/>
              </w:rPr>
              <w:t>原装驱动端旋转接头</w:t>
            </w:r>
            <w:r>
              <w:rPr>
                <w:rFonts w:hint="eastAsia" w:ascii="宋体" w:hAnsi="宋体" w:cs="宋体"/>
                <w:kern w:val="0"/>
                <w:szCs w:val="21"/>
                <w:lang w:val="en-US" w:eastAsia="zh-CN"/>
              </w:rPr>
              <w:t>13道</w:t>
            </w:r>
          </w:p>
        </w:tc>
        <w:tc>
          <w:tcPr>
            <w:tcW w:w="1854"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eastAsia="zh-CN"/>
              </w:rPr>
              <w:t>提供</w:t>
            </w:r>
            <w:r>
              <w:rPr>
                <w:rFonts w:hint="eastAsia" w:ascii="宋体" w:hAnsi="宋体" w:cs="宋体"/>
                <w:color w:val="000000"/>
                <w:kern w:val="0"/>
                <w:szCs w:val="21"/>
                <w:highlight w:val="none"/>
                <w:lang w:val="en-US" w:eastAsia="zh-CN"/>
              </w:rPr>
              <w:t>1套</w:t>
            </w:r>
          </w:p>
        </w:tc>
      </w:tr>
    </w:tbl>
    <w:p>
      <w:pPr>
        <w:numPr>
          <w:ilvl w:val="0"/>
          <w:numId w:val="0"/>
        </w:numPr>
        <w:spacing w:line="360" w:lineRule="auto"/>
        <w:ind w:firstLine="480" w:firstLineChars="200"/>
        <w:rPr>
          <w:rFonts w:hint="eastAsia" w:ascii="宋体" w:hAnsi="宋体" w:cs="宋体"/>
          <w:sz w:val="24"/>
          <w:szCs w:val="24"/>
        </w:rPr>
      </w:pPr>
    </w:p>
    <w:p>
      <w:pPr>
        <w:numPr>
          <w:ilvl w:val="0"/>
          <w:numId w:val="0"/>
        </w:numPr>
        <w:spacing w:line="36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所需耐材的安装、离线、在线维护，</w:t>
      </w:r>
      <w:r>
        <w:rPr>
          <w:rFonts w:hint="eastAsia" w:ascii="宋体" w:hAnsi="宋体" w:cs="宋体"/>
          <w:sz w:val="24"/>
          <w:szCs w:val="24"/>
          <w:lang w:eastAsia="zh-CN"/>
        </w:rPr>
        <w:t>硬件</w:t>
      </w:r>
      <w:r>
        <w:rPr>
          <w:rFonts w:hint="eastAsia" w:ascii="宋体" w:hAnsi="宋体" w:cs="宋体"/>
          <w:sz w:val="24"/>
          <w:szCs w:val="24"/>
        </w:rPr>
        <w:t>机构的解体重组、在线、离线的拆解安装、机构本体及转炉出钢口部位粘渣沾钢的清理</w:t>
      </w:r>
      <w:r>
        <w:rPr>
          <w:rFonts w:hint="eastAsia" w:ascii="宋体" w:hAnsi="宋体" w:cs="宋体"/>
          <w:sz w:val="24"/>
          <w:szCs w:val="24"/>
          <w:lang w:eastAsia="zh-CN"/>
        </w:rPr>
        <w:t>，基准板、链接板、油缸组件更换施工。</w:t>
      </w:r>
    </w:p>
    <w:p>
      <w:pPr>
        <w:numPr>
          <w:ilvl w:val="0"/>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4、归属</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（1）合同结束后乙方配齐甲方项目交接时的机构及备件，剩余机构及备件、耐材、安装工具归乙方所有；</w:t>
      </w:r>
    </w:p>
    <w:p>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（2）热修时产生的废旧耐材归乙方所有。</w:t>
      </w:r>
    </w:p>
    <w:p>
      <w:pPr>
        <w:spacing w:line="360" w:lineRule="auto"/>
        <w:rPr>
          <w:rFonts w:ascii="宋体" w:hAnsi="宋体" w:cs="宋体"/>
          <w:b/>
          <w:bCs/>
          <w:sz w:val="24"/>
          <w:szCs w:val="24"/>
        </w:rPr>
      </w:pPr>
      <w:r>
        <w:rPr>
          <w:rFonts w:hint="eastAsia" w:ascii="宋体" w:hAnsi="宋体" w:cs="宋体"/>
          <w:b/>
          <w:bCs/>
          <w:sz w:val="24"/>
          <w:szCs w:val="24"/>
        </w:rPr>
        <w:t>二、相关业务内容及要求</w:t>
      </w:r>
    </w:p>
    <w:p>
      <w:pPr>
        <w:spacing w:line="360" w:lineRule="auto"/>
        <w:rPr>
          <w:rFonts w:ascii="宋体" w:hAnsi="宋体" w:cs="宋体"/>
          <w:sz w:val="24"/>
          <w:szCs w:val="24"/>
        </w:rPr>
      </w:pPr>
      <w:r>
        <w:rPr>
          <w:rFonts w:hint="eastAsia" w:ascii="宋体" w:hAnsi="宋体" w:cs="宋体"/>
          <w:sz w:val="24"/>
          <w:szCs w:val="24"/>
        </w:rPr>
        <w:t>1、甲方责任与义务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甲方负责提供</w:t>
      </w:r>
      <w:r>
        <w:rPr>
          <w:rFonts w:hint="eastAsia" w:ascii="宋体" w:hAnsi="宋体" w:cs="宋体"/>
          <w:sz w:val="24"/>
          <w:szCs w:val="24"/>
          <w:lang w:eastAsia="zh-CN"/>
        </w:rPr>
        <w:t>滑板挡渣项目</w:t>
      </w:r>
      <w:r>
        <w:rPr>
          <w:rFonts w:hint="eastAsia" w:ascii="宋体" w:hAnsi="宋体" w:cs="宋体"/>
          <w:sz w:val="24"/>
          <w:szCs w:val="24"/>
        </w:rPr>
        <w:t>所需的能源介质</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）甲方负责提供滑板挡渣项目所需的</w:t>
      </w:r>
      <w:r>
        <w:rPr>
          <w:rFonts w:hint="eastAsia" w:ascii="宋体" w:hAnsi="宋体" w:cs="宋体"/>
          <w:sz w:val="24"/>
          <w:szCs w:val="24"/>
        </w:rPr>
        <w:t>叉车、天车、拆炉机、</w:t>
      </w:r>
      <w:r>
        <w:rPr>
          <w:rFonts w:hint="eastAsia" w:ascii="宋体" w:hAnsi="宋体" w:cs="宋体"/>
          <w:sz w:val="24"/>
          <w:szCs w:val="24"/>
          <w:lang w:eastAsia="zh-CN"/>
        </w:rPr>
        <w:t>在线、离线</w:t>
      </w:r>
      <w:r>
        <w:rPr>
          <w:rFonts w:hint="eastAsia" w:ascii="宋体" w:hAnsi="宋体" w:cs="宋体"/>
          <w:sz w:val="24"/>
          <w:szCs w:val="24"/>
        </w:rPr>
        <w:t>液压站；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）甲方负责滑板挡渣系统</w:t>
      </w:r>
      <w:r>
        <w:rPr>
          <w:rFonts w:hint="eastAsia" w:ascii="宋体" w:hAnsi="宋体" w:cs="宋体"/>
          <w:sz w:val="24"/>
          <w:szCs w:val="24"/>
        </w:rPr>
        <w:t>炉体的水管、油管更换及维护</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）甲方负责油缸更换时的管路对接工作；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rPr>
        <w:t>甲方负责对转炉滑板挡渣</w:t>
      </w:r>
      <w:r>
        <w:rPr>
          <w:rFonts w:hint="eastAsia" w:ascii="宋体" w:hAnsi="宋体" w:cs="宋体"/>
          <w:sz w:val="24"/>
          <w:szCs w:val="24"/>
          <w:lang w:eastAsia="zh-CN"/>
        </w:rPr>
        <w:t>涉及到的</w:t>
      </w:r>
      <w:r>
        <w:rPr>
          <w:rFonts w:hint="eastAsia" w:ascii="宋体" w:hAnsi="宋体" w:cs="宋体"/>
          <w:sz w:val="24"/>
          <w:szCs w:val="24"/>
        </w:rPr>
        <w:t>在线液压站、离线液压站、旋转接头及红外下渣检测系统</w:t>
      </w:r>
      <w:r>
        <w:rPr>
          <w:rFonts w:hint="eastAsia" w:ascii="宋体" w:hAnsi="宋体" w:cs="宋体"/>
          <w:sz w:val="24"/>
          <w:szCs w:val="24"/>
          <w:lang w:eastAsia="zh-CN"/>
        </w:rPr>
        <w:t>、电葫芦</w:t>
      </w:r>
      <w:r>
        <w:rPr>
          <w:rFonts w:hint="eastAsia" w:ascii="宋体" w:hAnsi="宋体" w:cs="宋体"/>
          <w:sz w:val="24"/>
          <w:szCs w:val="24"/>
        </w:rPr>
        <w:t>的点检、维护、更换工作，保证设备系统稳定运行。</w:t>
      </w:r>
    </w:p>
    <w:p>
      <w:pPr>
        <w:spacing w:line="360" w:lineRule="auto"/>
        <w:rPr>
          <w:rFonts w:ascii="宋体" w:hAnsi="宋体" w:cs="宋体"/>
          <w:sz w:val="24"/>
          <w:szCs w:val="24"/>
        </w:rPr>
      </w:pPr>
      <w:r>
        <w:rPr>
          <w:rFonts w:hint="eastAsia" w:ascii="宋体" w:hAnsi="宋体" w:cs="宋体"/>
          <w:sz w:val="24"/>
          <w:szCs w:val="24"/>
        </w:rPr>
        <w:t>2、乙方责任与义务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）乙方</w:t>
      </w:r>
      <w:r>
        <w:rPr>
          <w:rFonts w:hint="eastAsia" w:ascii="宋体" w:hAnsi="宋体" w:cs="宋体"/>
          <w:sz w:val="24"/>
          <w:szCs w:val="24"/>
        </w:rPr>
        <w:t>负责</w:t>
      </w:r>
      <w:r>
        <w:rPr>
          <w:rFonts w:hint="eastAsia" w:ascii="宋体" w:hAnsi="宋体" w:cs="宋体"/>
          <w:sz w:val="24"/>
          <w:szCs w:val="24"/>
          <w:lang w:eastAsia="zh-CN"/>
        </w:rPr>
        <w:t>转炉</w:t>
      </w:r>
      <w:r>
        <w:rPr>
          <w:rFonts w:hint="eastAsia" w:ascii="宋体" w:hAnsi="宋体" w:cs="宋体"/>
          <w:sz w:val="24"/>
          <w:szCs w:val="24"/>
        </w:rPr>
        <w:t>出钢口</w:t>
      </w:r>
      <w:r>
        <w:rPr>
          <w:rFonts w:hint="eastAsia" w:ascii="宋体" w:hAnsi="宋体" w:cs="宋体"/>
          <w:sz w:val="24"/>
          <w:szCs w:val="24"/>
          <w:lang w:eastAsia="zh-CN"/>
        </w:rPr>
        <w:t>安装</w:t>
      </w:r>
      <w:r>
        <w:rPr>
          <w:rFonts w:hint="eastAsia" w:ascii="宋体" w:hAnsi="宋体" w:cs="宋体"/>
          <w:sz w:val="24"/>
          <w:szCs w:val="24"/>
        </w:rPr>
        <w:t>、维护（</w:t>
      </w:r>
      <w:r>
        <w:rPr>
          <w:rFonts w:hint="eastAsia" w:ascii="宋体" w:hAnsi="宋体" w:cs="宋体"/>
          <w:sz w:val="24"/>
          <w:szCs w:val="24"/>
          <w:lang w:eastAsia="zh-CN"/>
        </w:rPr>
        <w:t>甲方</w:t>
      </w:r>
      <w:r>
        <w:rPr>
          <w:rFonts w:hint="eastAsia" w:ascii="宋体" w:hAnsi="宋体" w:cs="宋体"/>
          <w:sz w:val="24"/>
          <w:szCs w:val="24"/>
        </w:rPr>
        <w:t>负责出钢口钻孔）；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）乙</w:t>
      </w:r>
      <w:r>
        <w:rPr>
          <w:rFonts w:hint="eastAsia" w:ascii="宋体" w:hAnsi="宋体" w:cs="宋体"/>
          <w:sz w:val="24"/>
          <w:szCs w:val="24"/>
        </w:rPr>
        <w:t>方负责挡渣滑板、水口的安装、在线、离线维护；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）乙</w:t>
      </w:r>
      <w:r>
        <w:rPr>
          <w:rFonts w:hint="eastAsia" w:ascii="宋体" w:hAnsi="宋体" w:cs="宋体"/>
          <w:sz w:val="24"/>
          <w:szCs w:val="24"/>
        </w:rPr>
        <w:t>方负责滑板挡渣机构本体的点检、维护、维修及备件；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）乙</w:t>
      </w:r>
      <w:r>
        <w:rPr>
          <w:rFonts w:hint="eastAsia" w:ascii="宋体" w:hAnsi="宋体" w:cs="宋体"/>
          <w:sz w:val="24"/>
          <w:szCs w:val="24"/>
        </w:rPr>
        <w:t>方负责机构的解体重组、在线、离线的拆卸安装</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）乙</w:t>
      </w:r>
      <w:r>
        <w:rPr>
          <w:rFonts w:hint="eastAsia" w:ascii="宋体" w:hAnsi="宋体" w:cs="宋体"/>
          <w:sz w:val="24"/>
          <w:szCs w:val="24"/>
        </w:rPr>
        <w:t>方负责机构本体及出钢口周围的粘渣粘钢的清理；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）乙方负责基准板、连接板和油缸及护板的更换施工；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乙方负责</w:t>
      </w:r>
      <w:r>
        <w:rPr>
          <w:rFonts w:hint="eastAsia" w:ascii="宋体" w:hAnsi="宋体" w:cs="宋体"/>
          <w:sz w:val="24"/>
          <w:szCs w:val="24"/>
          <w:lang w:eastAsia="zh-CN"/>
        </w:rPr>
        <w:t>业务承包</w:t>
      </w:r>
      <w:r>
        <w:rPr>
          <w:rFonts w:hint="eastAsia" w:ascii="宋体" w:hAnsi="宋体" w:cs="宋体"/>
          <w:sz w:val="24"/>
          <w:szCs w:val="24"/>
        </w:rPr>
        <w:t>所</w:t>
      </w:r>
      <w:r>
        <w:rPr>
          <w:rFonts w:hint="eastAsia" w:ascii="宋体" w:hAnsi="宋体" w:cs="宋体"/>
          <w:sz w:val="24"/>
          <w:szCs w:val="24"/>
          <w:lang w:eastAsia="zh-CN"/>
        </w:rPr>
        <w:t>涉及区域的卫生及物料摆放</w:t>
      </w:r>
      <w:r>
        <w:rPr>
          <w:rFonts w:hint="eastAsia" w:ascii="宋体" w:hAnsi="宋体" w:cs="宋体"/>
          <w:sz w:val="24"/>
          <w:szCs w:val="24"/>
        </w:rPr>
        <w:t>符合公司6S</w:t>
      </w:r>
      <w:r>
        <w:rPr>
          <w:rFonts w:hint="eastAsia" w:ascii="宋体" w:hAnsi="宋体" w:cs="宋体"/>
          <w:sz w:val="24"/>
          <w:szCs w:val="24"/>
          <w:lang w:eastAsia="zh-CN"/>
        </w:rPr>
        <w:t>管理</w:t>
      </w:r>
      <w:r>
        <w:rPr>
          <w:rFonts w:hint="eastAsia" w:ascii="宋体" w:hAnsi="宋体" w:cs="宋体"/>
          <w:sz w:val="24"/>
          <w:szCs w:val="24"/>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）乙方</w:t>
      </w:r>
      <w:r>
        <w:rPr>
          <w:rFonts w:hint="eastAsia" w:ascii="宋体" w:hAnsi="宋体" w:cs="宋体"/>
          <w:sz w:val="24"/>
          <w:szCs w:val="24"/>
        </w:rPr>
        <w:t>负责</w:t>
      </w:r>
      <w:r>
        <w:rPr>
          <w:rFonts w:hint="eastAsia" w:ascii="宋体" w:hAnsi="宋体" w:cs="宋体"/>
          <w:sz w:val="24"/>
          <w:szCs w:val="24"/>
          <w:lang w:eastAsia="zh-CN"/>
        </w:rPr>
        <w:t>业务承包</w:t>
      </w:r>
      <w:r>
        <w:rPr>
          <w:rFonts w:hint="eastAsia" w:ascii="宋体" w:hAnsi="宋体" w:cs="宋体"/>
          <w:sz w:val="24"/>
          <w:szCs w:val="24"/>
        </w:rPr>
        <w:t>所辖设备、工吊具的</w:t>
      </w:r>
      <w:r>
        <w:rPr>
          <w:rFonts w:hint="eastAsia" w:ascii="宋体" w:hAnsi="宋体" w:cs="宋体"/>
          <w:sz w:val="24"/>
          <w:szCs w:val="24"/>
          <w:lang w:eastAsia="zh-CN"/>
        </w:rPr>
        <w:t>日常点检及基本维护工作（设备卫生、润滑）；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cs="宋体"/>
          <w:sz w:val="24"/>
          <w:szCs w:val="24"/>
        </w:rPr>
        <w:t>因甲方问题导致滑板挡渣使用出现问题，乙方可提出改进要求</w:t>
      </w:r>
      <w:r>
        <w:rPr>
          <w:rFonts w:hint="eastAsia" w:ascii="宋体" w:hAnsi="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cs="宋体"/>
          <w:sz w:val="24"/>
          <w:szCs w:val="24"/>
        </w:rPr>
        <w:t>乙方必须无条件需配合甲方对</w:t>
      </w:r>
      <w:r>
        <w:rPr>
          <w:rFonts w:hint="eastAsia" w:ascii="宋体" w:hAnsi="宋体" w:cs="宋体"/>
          <w:sz w:val="24"/>
          <w:szCs w:val="24"/>
          <w:lang w:eastAsia="zh-CN"/>
        </w:rPr>
        <w:t>硬件</w:t>
      </w:r>
      <w:r>
        <w:rPr>
          <w:rFonts w:hint="eastAsia" w:ascii="宋体" w:hAnsi="宋体" w:cs="宋体"/>
          <w:sz w:val="24"/>
          <w:szCs w:val="24"/>
        </w:rPr>
        <w:t>机构和耐材方面进行整改和改进</w:t>
      </w:r>
      <w:r>
        <w:rPr>
          <w:rFonts w:hint="eastAsia" w:ascii="宋体" w:hAnsi="宋体" w:cs="宋体"/>
          <w:sz w:val="24"/>
          <w:szCs w:val="24"/>
          <w:lang w:eastAsia="zh-CN"/>
        </w:rPr>
        <w:t>。</w:t>
      </w:r>
    </w:p>
    <w:p>
      <w:pPr>
        <w:spacing w:line="360" w:lineRule="auto"/>
        <w:rPr>
          <w:rFonts w:hint="eastAsia" w:ascii="宋体" w:hAnsi="宋体" w:cs="宋体"/>
          <w:b/>
          <w:bCs/>
          <w:sz w:val="24"/>
          <w:szCs w:val="24"/>
        </w:rPr>
      </w:pPr>
      <w:r>
        <w:rPr>
          <w:rFonts w:hint="eastAsia" w:ascii="宋体" w:hAnsi="宋体" w:cs="宋体"/>
          <w:b/>
          <w:bCs/>
          <w:sz w:val="24"/>
          <w:szCs w:val="24"/>
          <w:lang w:eastAsia="zh-CN"/>
        </w:rPr>
        <w:t>三</w:t>
      </w:r>
      <w:r>
        <w:rPr>
          <w:rFonts w:hint="eastAsia" w:ascii="宋体" w:hAnsi="宋体" w:cs="宋体"/>
          <w:b/>
          <w:bCs/>
          <w:sz w:val="24"/>
          <w:szCs w:val="24"/>
        </w:rPr>
        <w:t>、主要技术要求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设备备件</w:t>
      </w:r>
    </w:p>
    <w:tbl>
      <w:tblPr>
        <w:tblStyle w:val="4"/>
        <w:tblpPr w:leftFromText="180" w:rightFromText="180" w:vertAnchor="text" w:horzAnchor="page" w:tblpX="1506" w:tblpY="167"/>
        <w:tblOverlap w:val="never"/>
        <w:tblW w:w="44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8"/>
        <w:gridCol w:w="3929"/>
        <w:gridCol w:w="4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序号</w:t>
            </w:r>
          </w:p>
        </w:tc>
        <w:tc>
          <w:tcPr>
            <w:tcW w:w="2126"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cs="宋体"/>
                <w:kern w:val="0"/>
                <w:szCs w:val="21"/>
              </w:rPr>
            </w:pPr>
            <w:r>
              <w:rPr>
                <w:rFonts w:hint="eastAsia" w:ascii="宋体" w:hAnsi="宋体" w:cs="宋体"/>
                <w:kern w:val="0"/>
                <w:szCs w:val="21"/>
              </w:rPr>
              <w:t>名     称</w:t>
            </w:r>
          </w:p>
        </w:tc>
        <w:tc>
          <w:tcPr>
            <w:tcW w:w="229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lang w:eastAsia="zh-CN"/>
              </w:rPr>
            </w:pPr>
            <w:r>
              <w:rPr>
                <w:rFonts w:hint="eastAsia" w:ascii="宋体" w:hAnsi="宋体" w:cs="宋体"/>
                <w:kern w:val="0"/>
                <w:szCs w:val="21"/>
                <w:lang w:eastAsia="zh-CN"/>
              </w:rPr>
              <w:t>指标及要求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21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c>
          <w:tcPr>
            <w:tcW w:w="229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3"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212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基准板部件</w:t>
            </w:r>
          </w:p>
        </w:tc>
        <w:tc>
          <w:tcPr>
            <w:tcW w:w="2299" w:type="pct"/>
            <w:tcBorders>
              <w:top w:val="nil"/>
              <w:left w:val="nil"/>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eastAsia="zh-CN"/>
              </w:rPr>
              <w:t>≥</w:t>
            </w:r>
            <w:r>
              <w:rPr>
                <w:rFonts w:hint="eastAsia" w:ascii="宋体" w:hAnsi="宋体" w:cs="宋体"/>
                <w:kern w:val="0"/>
                <w:szCs w:val="21"/>
                <w:lang w:val="en-US" w:eastAsia="zh-CN"/>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3"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212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连接板部件</w:t>
            </w:r>
          </w:p>
        </w:tc>
        <w:tc>
          <w:tcPr>
            <w:tcW w:w="2299"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573" w:type="pct"/>
            <w:tcBorders>
              <w:top w:val="nil"/>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c>
          <w:tcPr>
            <w:tcW w:w="2126" w:type="pct"/>
            <w:tcBorders>
              <w:top w:val="nil"/>
              <w:left w:val="nil"/>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滑板挡渣机构</w:t>
            </w:r>
          </w:p>
        </w:tc>
        <w:tc>
          <w:tcPr>
            <w:tcW w:w="229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sz w:val="21"/>
                <w:szCs w:val="21"/>
              </w:rPr>
            </w:pPr>
            <w:r>
              <w:rPr>
                <w:rFonts w:hint="eastAsia" w:ascii="宋体" w:hAnsi="宋体" w:cs="宋体"/>
                <w:sz w:val="21"/>
                <w:szCs w:val="21"/>
              </w:rPr>
              <w:t>机构安装板、门框、滑动框小车、顶紧套、顶紧器等主要零部件要求用耐热铸钢件。所有隔热板使用耐热钢件。</w:t>
            </w:r>
          </w:p>
          <w:p>
            <w:pPr>
              <w:widowControl/>
              <w:spacing w:line="360" w:lineRule="exact"/>
              <w:ind w:firstLine="420" w:firstLineChars="200"/>
              <w:jc w:val="both"/>
              <w:rPr>
                <w:rFonts w:ascii="宋体" w:hAnsi="宋体" w:cs="宋体"/>
                <w:kern w:val="0"/>
                <w:szCs w:val="21"/>
              </w:rPr>
            </w:pPr>
            <w:r>
              <w:rPr>
                <w:rFonts w:hint="eastAsia" w:ascii="宋体" w:hAnsi="宋体" w:cs="宋体"/>
                <w:sz w:val="21"/>
                <w:szCs w:val="21"/>
              </w:rPr>
              <w:t>机构主要部件使用寿命≥1000炉</w:t>
            </w:r>
            <w:r>
              <w:rPr>
                <w:rFonts w:hint="eastAsia" w:ascii="宋体" w:hAnsi="宋体" w:cs="宋体"/>
                <w:sz w:val="21"/>
                <w:szCs w:val="21"/>
                <w:lang w:eastAsia="zh-CN"/>
              </w:rPr>
              <w:t>、</w:t>
            </w:r>
            <w:r>
              <w:rPr>
                <w:rFonts w:hint="eastAsia" w:ascii="宋体" w:hAnsi="宋体" w:cs="宋体"/>
                <w:sz w:val="21"/>
                <w:szCs w:val="21"/>
              </w:rPr>
              <w:t>滑条使用寿命≥300炉</w:t>
            </w:r>
            <w:r>
              <w:rPr>
                <w:rFonts w:hint="eastAsia" w:ascii="宋体" w:hAnsi="宋体" w:cs="宋体"/>
                <w:sz w:val="21"/>
                <w:szCs w:val="21"/>
                <w:lang w:eastAsia="zh-CN"/>
              </w:rPr>
              <w:t>、</w:t>
            </w:r>
            <w:r>
              <w:rPr>
                <w:rFonts w:hint="eastAsia" w:ascii="宋体" w:hAnsi="宋体" w:cs="宋体"/>
                <w:sz w:val="21"/>
                <w:szCs w:val="21"/>
              </w:rPr>
              <w:t>顶紧套使用寿命≥300炉</w:t>
            </w:r>
            <w:r>
              <w:rPr>
                <w:rFonts w:hint="eastAsia" w:ascii="宋体" w:hAnsi="宋体" w:cs="宋体"/>
                <w:sz w:val="21"/>
                <w:szCs w:val="21"/>
                <w:lang w:eastAsia="zh-CN"/>
              </w:rPr>
              <w:t>、</w:t>
            </w:r>
            <w:r>
              <w:rPr>
                <w:rFonts w:hint="eastAsia" w:ascii="宋体" w:hAnsi="宋体" w:cs="宋体"/>
                <w:sz w:val="21"/>
                <w:szCs w:val="21"/>
              </w:rPr>
              <w:t>顶紧器使用寿命≥100炉</w:t>
            </w:r>
            <w:r>
              <w:rPr>
                <w:rFonts w:hint="eastAsia" w:ascii="宋体" w:hAnsi="宋体" w:cs="宋体"/>
                <w:sz w:val="21"/>
                <w:szCs w:val="21"/>
                <w:lang w:eastAsia="zh-CN"/>
              </w:rPr>
              <w:t>、</w:t>
            </w:r>
            <w:r>
              <w:rPr>
                <w:rFonts w:hint="eastAsia" w:ascii="宋体" w:hAnsi="宋体" w:cs="宋体"/>
                <w:sz w:val="21"/>
                <w:szCs w:val="21"/>
              </w:rPr>
              <w:t>弹簧寿命≥1000炉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73"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2126"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val="0"/>
                <w:bCs w:val="0"/>
                <w:kern w:val="0"/>
                <w:szCs w:val="21"/>
              </w:rPr>
            </w:pPr>
            <w:r>
              <w:rPr>
                <w:rFonts w:hint="eastAsia" w:ascii="宋体" w:hAnsi="宋体" w:cs="宋体"/>
                <w:b w:val="0"/>
                <w:bCs w:val="0"/>
                <w:kern w:val="0"/>
                <w:szCs w:val="21"/>
              </w:rPr>
              <w:t>水冷油缸组件</w:t>
            </w:r>
          </w:p>
        </w:tc>
        <w:tc>
          <w:tcPr>
            <w:tcW w:w="2299"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rPr>
              <w:t>进口氟橡胶</w:t>
            </w:r>
            <w:r>
              <w:rPr>
                <w:rFonts w:hint="eastAsia" w:ascii="宋体" w:hAnsi="宋体" w:cs="宋体"/>
                <w:kern w:val="0"/>
                <w:szCs w:val="21"/>
                <w:lang w:eastAsia="zh-CN"/>
              </w:rPr>
              <w:t>，≥</w:t>
            </w:r>
            <w:r>
              <w:rPr>
                <w:rFonts w:hint="eastAsia" w:ascii="宋体" w:hAnsi="宋体" w:cs="宋体"/>
                <w:kern w:val="0"/>
                <w:szCs w:val="21"/>
                <w:lang w:val="en-US" w:eastAsia="zh-CN"/>
              </w:rPr>
              <w:t>3000炉</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textAlignment w:val="auto"/>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耐材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color w:val="auto"/>
          <w:sz w:val="24"/>
          <w:szCs w:val="24"/>
        </w:rPr>
      </w:pPr>
      <w:r>
        <w:rPr>
          <w:rFonts w:hint="eastAsia" w:ascii="Times New Roman" w:hAnsi="Times New Roman" w:cs="Times New Roman" w:eastAsiaTheme="minorEastAsia"/>
          <w:color w:val="auto"/>
          <w:sz w:val="24"/>
          <w:szCs w:val="24"/>
          <w:lang w:eastAsia="zh-CN"/>
        </w:rPr>
        <w:t>乙方</w:t>
      </w:r>
      <w:r>
        <w:rPr>
          <w:rFonts w:hint="eastAsia" w:ascii="Times New Roman" w:hAnsi="Times New Roman" w:cs="Times New Roman" w:eastAsiaTheme="minorEastAsia"/>
          <w:color w:val="auto"/>
          <w:sz w:val="24"/>
          <w:szCs w:val="24"/>
        </w:rPr>
        <w:t>对转炉滑板挡渣用耐火材料按照</w:t>
      </w:r>
      <w:r>
        <w:rPr>
          <w:rFonts w:hint="eastAsia" w:ascii="Times New Roman" w:hAnsi="Times New Roman" w:cs="Times New Roman" w:eastAsiaTheme="minorEastAsia"/>
          <w:color w:val="auto"/>
          <w:sz w:val="24"/>
          <w:szCs w:val="24"/>
          <w:lang w:eastAsia="zh-CN"/>
        </w:rPr>
        <w:t>国家相关</w:t>
      </w:r>
      <w:r>
        <w:rPr>
          <w:rFonts w:hint="eastAsia" w:ascii="Times New Roman" w:hAnsi="Times New Roman" w:cs="Times New Roman" w:eastAsiaTheme="minorEastAsia"/>
          <w:color w:val="auto"/>
          <w:sz w:val="24"/>
          <w:szCs w:val="24"/>
        </w:rPr>
        <w:t>的标准进行设计、制造、供货、修砌、维护。同时保证符合</w:t>
      </w:r>
      <w:r>
        <w:rPr>
          <w:rFonts w:hint="eastAsia" w:ascii="Times New Roman" w:hAnsi="Times New Roman" w:cs="Times New Roman" w:eastAsiaTheme="minorEastAsia"/>
          <w:color w:val="auto"/>
          <w:sz w:val="24"/>
          <w:szCs w:val="24"/>
          <w:lang w:eastAsia="zh-CN"/>
        </w:rPr>
        <w:t>甲</w:t>
      </w:r>
      <w:r>
        <w:rPr>
          <w:rFonts w:hint="eastAsia" w:ascii="Times New Roman" w:hAnsi="Times New Roman" w:cs="Times New Roman" w:eastAsiaTheme="minorEastAsia"/>
          <w:color w:val="auto"/>
          <w:sz w:val="24"/>
          <w:szCs w:val="24"/>
        </w:rPr>
        <w:t>方所提出的</w:t>
      </w:r>
      <w:r>
        <w:rPr>
          <w:rFonts w:hint="eastAsia" w:ascii="Times New Roman" w:hAnsi="Times New Roman" w:cs="Times New Roman" w:eastAsiaTheme="minorEastAsia"/>
          <w:color w:val="auto"/>
          <w:sz w:val="24"/>
          <w:szCs w:val="24"/>
          <w:lang w:val="en-US" w:eastAsia="zh-CN"/>
        </w:rPr>
        <w:t>120</w:t>
      </w:r>
      <w:r>
        <w:rPr>
          <w:rFonts w:hint="eastAsia" w:ascii="Times New Roman" w:hAnsi="Times New Roman" w:cs="Times New Roman" w:eastAsiaTheme="minorEastAsia"/>
          <w:color w:val="auto"/>
          <w:sz w:val="24"/>
          <w:szCs w:val="24"/>
        </w:rPr>
        <w:t>吨转炉滑板挡渣耐火材料整体承包技术要求及我国现行的相关标准要求，这些标准和技术规范应为生产制造时为止最新公布发行的标准和技术规范。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lang w:val="en-US" w:eastAsia="zh-CN"/>
        </w:rPr>
      </w:pPr>
      <w:r>
        <w:rPr>
          <w:rFonts w:hint="eastAsia" w:ascii="宋体" w:hAnsi="宋体" w:cs="宋体"/>
          <w:sz w:val="24"/>
          <w:szCs w:val="24"/>
          <w:lang w:eastAsia="zh-CN"/>
        </w:rPr>
        <w:t>确保</w:t>
      </w:r>
      <w:r>
        <w:rPr>
          <w:rFonts w:hint="eastAsia" w:ascii="宋体" w:hAnsi="宋体" w:cs="宋体"/>
          <w:sz w:val="24"/>
          <w:szCs w:val="24"/>
        </w:rPr>
        <w:t>滑板的使用寿命≥15次</w:t>
      </w:r>
      <w:r>
        <w:rPr>
          <w:rFonts w:hint="eastAsia" w:ascii="宋体" w:hAnsi="宋体" w:cs="宋体"/>
          <w:sz w:val="24"/>
          <w:szCs w:val="24"/>
          <w:lang w:eastAsia="zh-CN"/>
        </w:rPr>
        <w:t>（</w:t>
      </w:r>
      <w:r>
        <w:rPr>
          <w:rFonts w:hint="eastAsia" w:ascii="宋体" w:hAnsi="宋体" w:cs="宋体"/>
          <w:sz w:val="24"/>
          <w:szCs w:val="24"/>
        </w:rPr>
        <w:t>若单炉前后挡均使用，滑板砖寿命按两次计算</w:t>
      </w:r>
      <w:r>
        <w:rPr>
          <w:rFonts w:hint="eastAsia" w:ascii="宋体" w:hAnsi="宋体" w:cs="宋体"/>
          <w:sz w:val="24"/>
          <w:szCs w:val="24"/>
          <w:lang w:eastAsia="zh-CN"/>
        </w:rPr>
        <w:t>），</w:t>
      </w:r>
      <w:r>
        <w:rPr>
          <w:rFonts w:hint="eastAsia" w:ascii="宋体" w:hAnsi="宋体" w:cs="宋体"/>
          <w:sz w:val="24"/>
          <w:szCs w:val="24"/>
          <w:lang w:val="en-US" w:eastAsia="zh-CN"/>
        </w:rPr>
        <w:t>出钢口寿命≥230</w:t>
      </w:r>
      <w:r>
        <w:rPr>
          <w:rFonts w:hint="eastAsia"/>
          <w:lang w:val="en-US" w:eastAsia="zh-CN"/>
        </w:rPr>
        <w:t>炉。</w:t>
      </w:r>
    </w:p>
    <w:p>
      <w:pPr>
        <w:spacing w:line="360" w:lineRule="auto"/>
        <w:rPr>
          <w:rFonts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、考核办法</w:t>
      </w:r>
    </w:p>
    <w:p>
      <w:pPr>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rPr>
        <w:t>事故考核</w:t>
      </w:r>
    </w:p>
    <w:tbl>
      <w:tblPr>
        <w:tblStyle w:val="4"/>
        <w:tblpPr w:leftFromText="180" w:rightFromText="180" w:vertAnchor="text" w:horzAnchor="page" w:tblpXSpec="center" w:tblpY="93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7"/>
        <w:gridCol w:w="4351"/>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Times New Roman"/>
                <w:b/>
                <w:sz w:val="21"/>
                <w:szCs w:val="21"/>
              </w:rPr>
            </w:pPr>
            <w:r>
              <w:rPr>
                <w:rFonts w:hint="eastAsia" w:ascii="Times New Roman" w:hAnsi="Times New Roman" w:cs="Times New Roman"/>
                <w:b/>
                <w:sz w:val="21"/>
                <w:szCs w:val="21"/>
              </w:rPr>
              <w:t>序号</w:t>
            </w:r>
          </w:p>
        </w:tc>
        <w:tc>
          <w:tcPr>
            <w:tcW w:w="2110"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Times New Roman"/>
                <w:b/>
                <w:sz w:val="21"/>
                <w:szCs w:val="21"/>
              </w:rPr>
            </w:pPr>
            <w:r>
              <w:rPr>
                <w:rFonts w:hint="eastAsia" w:ascii="Times New Roman" w:hAnsi="Times New Roman" w:cs="Times New Roman"/>
                <w:b/>
                <w:sz w:val="21"/>
                <w:szCs w:val="21"/>
              </w:rPr>
              <w:t>项目</w:t>
            </w:r>
          </w:p>
        </w:tc>
        <w:tc>
          <w:tcPr>
            <w:tcW w:w="1964" w:type="pc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Times New Roman" w:hAnsi="Times New Roman" w:cs="Times New Roman"/>
                <w:b/>
                <w:sz w:val="21"/>
                <w:szCs w:val="21"/>
              </w:rPr>
            </w:pPr>
            <w:r>
              <w:rPr>
                <w:rFonts w:hint="eastAsia" w:ascii="Times New Roman" w:hAnsi="Times New Roman" w:cs="Times New Roman"/>
                <w:b/>
                <w:sz w:val="21"/>
                <w:szCs w:val="21"/>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1</w:t>
            </w:r>
          </w:p>
        </w:tc>
        <w:tc>
          <w:tcPr>
            <w:tcW w:w="21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非计划基础考核</w:t>
            </w:r>
          </w:p>
        </w:tc>
        <w:tc>
          <w:tcPr>
            <w:tcW w:w="196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lang w:val="en-US" w:eastAsia="zh-CN"/>
              </w:rPr>
              <w:t>2000</w:t>
            </w:r>
            <w:r>
              <w:rPr>
                <w:rFonts w:ascii="Times New Roman" w:hAnsi="Times New Roman" w:cs="Times New Roman"/>
                <w:sz w:val="21"/>
                <w:szCs w:val="21"/>
              </w:rPr>
              <w:t>/</w:t>
            </w:r>
            <w:r>
              <w:rPr>
                <w:rFonts w:hint="eastAsia" w:ascii="Times New Roman" w:hAnsi="Times New Roman" w:cs="Times New Roman"/>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2</w:t>
            </w:r>
          </w:p>
        </w:tc>
        <w:tc>
          <w:tcPr>
            <w:tcW w:w="21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滑板刺钢</w:t>
            </w:r>
          </w:p>
        </w:tc>
        <w:tc>
          <w:tcPr>
            <w:tcW w:w="19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1000</w:t>
            </w:r>
            <w:r>
              <w:rPr>
                <w:rFonts w:hint="eastAsia" w:ascii="Times New Roman" w:hAnsi="Times New Roman" w:cs="Times New Roman"/>
                <w:sz w:val="21"/>
                <w:szCs w:val="21"/>
              </w:rPr>
              <w:t>元</w:t>
            </w:r>
            <w:r>
              <w:rPr>
                <w:rFonts w:ascii="Times New Roman" w:hAnsi="Times New Roman" w:cs="Times New Roman"/>
                <w:sz w:val="21"/>
                <w:szCs w:val="21"/>
              </w:rPr>
              <w:t>/</w:t>
            </w:r>
            <w:r>
              <w:rPr>
                <w:rFonts w:hint="eastAsia" w:ascii="Times New Roman" w:hAnsi="Times New Roman" w:cs="Times New Roman"/>
                <w:sz w:val="21"/>
                <w:szCs w:val="21"/>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p>
        </w:tc>
        <w:tc>
          <w:tcPr>
            <w:tcW w:w="21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非计划影响时间</w:t>
            </w:r>
          </w:p>
        </w:tc>
        <w:tc>
          <w:tcPr>
            <w:tcW w:w="196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ascii="Times New Roman" w:hAnsi="Times New Roman" w:cs="Times New Roman"/>
                <w:sz w:val="21"/>
                <w:szCs w:val="21"/>
              </w:rPr>
              <w:t>50</w:t>
            </w:r>
            <w:r>
              <w:rPr>
                <w:rFonts w:hint="eastAsia" w:ascii="Times New Roman" w:hAnsi="Times New Roman" w:cs="Times New Roman"/>
                <w:sz w:val="21"/>
                <w:szCs w:val="21"/>
              </w:rPr>
              <w:t>元</w:t>
            </w:r>
            <w:r>
              <w:rPr>
                <w:rFonts w:ascii="Times New Roman" w:hAnsi="Times New Roman" w:cs="Times New Roman"/>
                <w:sz w:val="21"/>
                <w:szCs w:val="21"/>
              </w:rPr>
              <w:t>/</w:t>
            </w:r>
            <w:r>
              <w:rPr>
                <w:rFonts w:hint="eastAsia" w:ascii="Times New Roman" w:hAnsi="Times New Roman" w:cs="Times New Roman"/>
                <w:sz w:val="21"/>
                <w:szCs w:val="21"/>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21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设备损失</w:t>
            </w:r>
          </w:p>
        </w:tc>
        <w:tc>
          <w:tcPr>
            <w:tcW w:w="196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维修或照价赔偿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21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安全问题</w:t>
            </w:r>
          </w:p>
        </w:tc>
        <w:tc>
          <w:tcPr>
            <w:tcW w:w="196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按照</w:t>
            </w:r>
            <w:r>
              <w:rPr>
                <w:rFonts w:hint="eastAsia" w:ascii="Times New Roman" w:hAnsi="Times New Roman" w:cs="Times New Roman"/>
                <w:sz w:val="21"/>
                <w:szCs w:val="21"/>
                <w:lang w:eastAsia="zh-CN"/>
              </w:rPr>
              <w:t>甲方</w:t>
            </w:r>
            <w:r>
              <w:rPr>
                <w:rFonts w:hint="eastAsia" w:ascii="Times New Roman" w:hAnsi="Times New Roman" w:cs="Times New Roman"/>
                <w:sz w:val="21"/>
                <w:szCs w:val="21"/>
              </w:rPr>
              <w:t>安全制度考核</w:t>
            </w:r>
          </w:p>
        </w:tc>
      </w:tr>
    </w:tbl>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eastAsiaTheme="minorEastAsia"/>
          <w:sz w:val="24"/>
          <w:szCs w:val="24"/>
        </w:rPr>
        <w:t>事故类型分为机构发红、</w:t>
      </w:r>
      <w:r>
        <w:rPr>
          <w:rFonts w:hint="eastAsia" w:ascii="Times New Roman" w:hAnsi="Times New Roman" w:cs="Times New Roman"/>
          <w:sz w:val="24"/>
          <w:szCs w:val="24"/>
        </w:rPr>
        <w:t>水口穿钢、滑板穿钢、滑板无法闭合、滑板无法打开等。直接损失按以下标准考核，间接损失双方协商解决。</w:t>
      </w:r>
    </w:p>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技术考核</w:t>
      </w:r>
    </w:p>
    <w:tbl>
      <w:tblPr>
        <w:tblStyle w:val="4"/>
        <w:tblW w:w="5000" w:type="pct"/>
        <w:jc w:val="center"/>
        <w:tblLayout w:type="autofit"/>
        <w:tblCellMar>
          <w:top w:w="0" w:type="dxa"/>
          <w:left w:w="108" w:type="dxa"/>
          <w:bottom w:w="0" w:type="dxa"/>
          <w:right w:w="108" w:type="dxa"/>
        </w:tblCellMar>
      </w:tblPr>
      <w:tblGrid>
        <w:gridCol w:w="636"/>
        <w:gridCol w:w="1266"/>
        <w:gridCol w:w="5236"/>
        <w:gridCol w:w="3170"/>
      </w:tblGrid>
      <w:tr>
        <w:tblPrEx>
          <w:tblCellMar>
            <w:top w:w="0" w:type="dxa"/>
            <w:left w:w="108" w:type="dxa"/>
            <w:bottom w:w="0" w:type="dxa"/>
            <w:right w:w="108" w:type="dxa"/>
          </w:tblCellMar>
        </w:tblPrEx>
        <w:trPr>
          <w:trHeight w:val="270" w:hRule="atLeast"/>
          <w:jc w:val="center"/>
        </w:trPr>
        <w:tc>
          <w:tcPr>
            <w:tcW w:w="308"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序号</w:t>
            </w:r>
          </w:p>
        </w:tc>
        <w:tc>
          <w:tcPr>
            <w:tcW w:w="614"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项目</w:t>
            </w: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标准</w:t>
            </w:r>
          </w:p>
        </w:tc>
        <w:tc>
          <w:tcPr>
            <w:tcW w:w="1537" w:type="pct"/>
            <w:tcBorders>
              <w:top w:val="single" w:color="auto" w:sz="4" w:space="0"/>
              <w:left w:val="single" w:color="auto" w:sz="4" w:space="0"/>
              <w:bottom w:val="single" w:color="auto" w:sz="4" w:space="0"/>
              <w:right w:val="single" w:color="auto" w:sz="4" w:space="0"/>
            </w:tcBorders>
            <w:noWrap/>
            <w:vAlign w:val="bottom"/>
          </w:tcPr>
          <w:p>
            <w:pPr>
              <w:widowControl/>
              <w:jc w:val="center"/>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说明及考核</w:t>
            </w:r>
          </w:p>
        </w:tc>
      </w:tr>
      <w:tr>
        <w:tblPrEx>
          <w:tblCellMar>
            <w:top w:w="0" w:type="dxa"/>
            <w:left w:w="108" w:type="dxa"/>
            <w:bottom w:w="0" w:type="dxa"/>
            <w:right w:w="108" w:type="dxa"/>
          </w:tblCellMar>
        </w:tblPrEx>
        <w:trPr>
          <w:trHeight w:val="270" w:hRule="atLeast"/>
          <w:jc w:val="center"/>
        </w:trPr>
        <w:tc>
          <w:tcPr>
            <w:tcW w:w="30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val="en-US" w:eastAsia="zh-CN"/>
              </w:rPr>
              <w:t>1</w:t>
            </w:r>
          </w:p>
        </w:tc>
        <w:tc>
          <w:tcPr>
            <w:tcW w:w="614"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挡渣合格率</w:t>
            </w:r>
          </w:p>
        </w:tc>
        <w:tc>
          <w:tcPr>
            <w:tcW w:w="2539"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cs="Times New Roman"/>
                <w:color w:val="auto"/>
                <w:kern w:val="0"/>
                <w:sz w:val="21"/>
                <w:szCs w:val="21"/>
              </w:rPr>
            </w:pPr>
            <w:r>
              <w:rPr>
                <w:rFonts w:ascii="Times New Roman" w:hAnsi="Times New Roman" w:cs="Times New Roman"/>
                <w:color w:val="auto"/>
                <w:kern w:val="0"/>
                <w:sz w:val="21"/>
                <w:szCs w:val="21"/>
              </w:rPr>
              <w:t>100%</w:t>
            </w:r>
          </w:p>
        </w:tc>
        <w:tc>
          <w:tcPr>
            <w:tcW w:w="1537" w:type="pct"/>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rPr>
              <w:t>）每降低</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rPr>
              <w:t>考核</w:t>
            </w:r>
            <w:r>
              <w:rPr>
                <w:rFonts w:ascii="Times New Roman" w:hAnsi="Times New Roman" w:cs="Times New Roman"/>
                <w:color w:val="auto"/>
                <w:kern w:val="0"/>
                <w:sz w:val="21"/>
                <w:szCs w:val="21"/>
              </w:rPr>
              <w:t>5000</w:t>
            </w:r>
            <w:r>
              <w:rPr>
                <w:rFonts w:hint="eastAsia" w:ascii="Times New Roman" w:hAnsi="Times New Roman" w:cs="Times New Roman"/>
                <w:color w:val="auto"/>
                <w:kern w:val="0"/>
                <w:sz w:val="21"/>
                <w:szCs w:val="21"/>
              </w:rPr>
              <w:t>元；</w:t>
            </w:r>
            <w:r>
              <w:rPr>
                <w:rFonts w:ascii="Times New Roman" w:hAnsi="Times New Roman" w:cs="Times New Roman"/>
                <w:color w:val="auto"/>
                <w:kern w:val="0"/>
                <w:sz w:val="21"/>
                <w:szCs w:val="21"/>
              </w:rPr>
              <w:br w:type="textWrapping"/>
            </w:r>
            <w:r>
              <w:rPr>
                <w:rFonts w:hint="eastAsia" w:ascii="Times New Roman" w:hAnsi="Times New Roman" w:cs="Times New Roman"/>
                <w:color w:val="auto"/>
                <w:kern w:val="0"/>
                <w:sz w:val="21"/>
                <w:szCs w:val="21"/>
              </w:rPr>
              <w:t>（</w:t>
            </w:r>
            <w:r>
              <w:rPr>
                <w:rFonts w:ascii="Times New Roman" w:hAnsi="Times New Roman" w:cs="Times New Roman"/>
                <w:color w:val="auto"/>
                <w:kern w:val="0"/>
                <w:sz w:val="21"/>
                <w:szCs w:val="21"/>
              </w:rPr>
              <w:t>2</w:t>
            </w:r>
            <w:r>
              <w:rPr>
                <w:rFonts w:hint="eastAsia" w:ascii="Times New Roman" w:hAnsi="Times New Roman" w:cs="Times New Roman"/>
                <w:color w:val="auto"/>
                <w:kern w:val="0"/>
                <w:sz w:val="21"/>
                <w:szCs w:val="21"/>
              </w:rPr>
              <w:t>）因</w:t>
            </w:r>
            <w:r>
              <w:rPr>
                <w:rFonts w:hint="eastAsia" w:ascii="Times New Roman" w:hAnsi="Times New Roman" w:cs="Times New Roman"/>
                <w:color w:val="auto"/>
                <w:kern w:val="0"/>
                <w:sz w:val="21"/>
                <w:szCs w:val="21"/>
                <w:lang w:eastAsia="zh-CN"/>
              </w:rPr>
              <w:t>乙方</w:t>
            </w:r>
            <w:r>
              <w:rPr>
                <w:rFonts w:hint="eastAsia" w:ascii="Times New Roman" w:hAnsi="Times New Roman" w:cs="Times New Roman"/>
                <w:color w:val="auto"/>
                <w:kern w:val="0"/>
                <w:sz w:val="21"/>
                <w:szCs w:val="21"/>
              </w:rPr>
              <w:t>原因挡渣失败造成钢水质量问题，考核</w:t>
            </w:r>
            <w:r>
              <w:rPr>
                <w:rFonts w:ascii="Times New Roman" w:hAnsi="Times New Roman" w:cs="Times New Roman"/>
                <w:color w:val="auto"/>
                <w:kern w:val="0"/>
                <w:sz w:val="21"/>
                <w:szCs w:val="21"/>
              </w:rPr>
              <w:t xml:space="preserve">700 </w:t>
            </w:r>
            <w:r>
              <w:rPr>
                <w:rFonts w:hint="eastAsia" w:ascii="Times New Roman" w:hAnsi="Times New Roman" w:cs="Times New Roman"/>
                <w:color w:val="auto"/>
                <w:kern w:val="0"/>
                <w:sz w:val="21"/>
                <w:szCs w:val="21"/>
              </w:rPr>
              <w:t>元</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rPr>
              <w:t>吨。</w:t>
            </w:r>
          </w:p>
        </w:tc>
      </w:tr>
      <w:tr>
        <w:tblPrEx>
          <w:tblCellMar>
            <w:top w:w="0" w:type="dxa"/>
            <w:left w:w="108" w:type="dxa"/>
            <w:bottom w:w="0" w:type="dxa"/>
            <w:right w:w="108" w:type="dxa"/>
          </w:tblCellMar>
        </w:tblPrEx>
        <w:trPr>
          <w:trHeight w:val="270" w:hRule="atLeast"/>
          <w:jc w:val="center"/>
        </w:trPr>
        <w:tc>
          <w:tcPr>
            <w:tcW w:w="30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val="en-US" w:eastAsia="zh-CN"/>
              </w:rPr>
              <w:t>2</w:t>
            </w:r>
          </w:p>
        </w:tc>
        <w:tc>
          <w:tcPr>
            <w:tcW w:w="614"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生产节奏</w:t>
            </w: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机构</w:t>
            </w:r>
            <w:r>
              <w:rPr>
                <w:rFonts w:hint="eastAsia" w:ascii="Times New Roman" w:hAnsi="Times New Roman" w:cs="Times New Roman"/>
                <w:color w:val="auto"/>
                <w:kern w:val="0"/>
                <w:sz w:val="21"/>
                <w:szCs w:val="21"/>
                <w:lang w:eastAsia="zh-CN"/>
              </w:rPr>
              <w:t>更换≤</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lang w:val="en-US" w:eastAsia="zh-CN"/>
              </w:rPr>
              <w:t>3</w:t>
            </w:r>
            <w:r>
              <w:rPr>
                <w:rFonts w:ascii="Times New Roman" w:hAnsi="Times New Roman" w:cs="Times New Roman"/>
                <w:color w:val="auto"/>
                <w:kern w:val="0"/>
                <w:sz w:val="21"/>
                <w:szCs w:val="21"/>
              </w:rPr>
              <w:t>min</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每超</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rPr>
              <w:t>分钟考核</w:t>
            </w:r>
            <w:r>
              <w:rPr>
                <w:rFonts w:hint="eastAsia" w:ascii="Times New Roman" w:hAnsi="Times New Roman" w:cs="Times New Roman"/>
                <w:color w:val="auto"/>
                <w:kern w:val="0"/>
                <w:sz w:val="21"/>
                <w:szCs w:val="21"/>
                <w:lang w:val="en-US" w:eastAsia="zh-CN"/>
              </w:rPr>
              <w:t>5</w:t>
            </w:r>
            <w:r>
              <w:rPr>
                <w:rFonts w:ascii="Times New Roman" w:hAnsi="Times New Roman" w:cs="Times New Roman"/>
                <w:color w:val="auto"/>
                <w:kern w:val="0"/>
                <w:sz w:val="21"/>
                <w:szCs w:val="21"/>
              </w:rPr>
              <w:t>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468"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rPr>
              <w:t>机构</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rPr>
              <w:t>内水口</w:t>
            </w:r>
            <w:r>
              <w:rPr>
                <w:rFonts w:hint="eastAsia" w:ascii="Times New Roman" w:hAnsi="Times New Roman" w:cs="Times New Roman"/>
                <w:color w:val="auto"/>
                <w:kern w:val="0"/>
                <w:sz w:val="21"/>
                <w:szCs w:val="21"/>
                <w:lang w:eastAsia="zh-CN"/>
              </w:rPr>
              <w:t>更换≤</w:t>
            </w:r>
            <w:r>
              <w:rPr>
                <w:rFonts w:hint="eastAsia" w:ascii="Times New Roman" w:hAnsi="Times New Roman" w:cs="Times New Roman"/>
                <w:color w:val="auto"/>
                <w:kern w:val="0"/>
                <w:sz w:val="21"/>
                <w:szCs w:val="21"/>
                <w:lang w:val="en-US" w:eastAsia="zh-CN"/>
              </w:rPr>
              <w:t>16min</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每超</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rPr>
              <w:t>分钟考核</w:t>
            </w:r>
            <w:r>
              <w:rPr>
                <w:rFonts w:hint="eastAsia" w:ascii="Times New Roman" w:hAnsi="Times New Roman" w:cs="Times New Roman"/>
                <w:color w:val="auto"/>
                <w:kern w:val="0"/>
                <w:sz w:val="21"/>
                <w:szCs w:val="21"/>
                <w:lang w:val="en-US" w:eastAsia="zh-CN"/>
              </w:rPr>
              <w:t>5</w:t>
            </w:r>
            <w:r>
              <w:rPr>
                <w:rFonts w:ascii="Times New Roman" w:hAnsi="Times New Roman" w:cs="Times New Roman"/>
                <w:color w:val="auto"/>
                <w:kern w:val="0"/>
                <w:sz w:val="21"/>
                <w:szCs w:val="21"/>
              </w:rPr>
              <w:t>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362"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机构</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rPr>
              <w:t>内水口</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rPr>
              <w:t>出钢口更换时间</w:t>
            </w:r>
            <w:r>
              <w:rPr>
                <w:rFonts w:ascii="Times New Roman" w:hAnsi="Times New Roman" w:cs="Times New Roman"/>
                <w:color w:val="auto"/>
                <w:kern w:val="0"/>
                <w:sz w:val="21"/>
                <w:szCs w:val="21"/>
              </w:rPr>
              <w:t>≤60min(</w:t>
            </w:r>
            <w:r>
              <w:rPr>
                <w:rFonts w:hint="eastAsia" w:ascii="Times New Roman" w:hAnsi="Times New Roman" w:cs="Times New Roman"/>
                <w:color w:val="auto"/>
                <w:kern w:val="0"/>
                <w:sz w:val="21"/>
                <w:szCs w:val="21"/>
              </w:rPr>
              <w:t>不包括钻孔时间</w:t>
            </w:r>
            <w:r>
              <w:rPr>
                <w:rFonts w:ascii="Times New Roman" w:hAnsi="Times New Roman" w:cs="Times New Roman"/>
                <w:color w:val="auto"/>
                <w:kern w:val="0"/>
                <w:sz w:val="21"/>
                <w:szCs w:val="21"/>
              </w:rPr>
              <w:t>)</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每超</w:t>
            </w:r>
            <w:r>
              <w:rPr>
                <w:rFonts w:ascii="Times New Roman" w:hAnsi="Times New Roman" w:cs="Times New Roman"/>
                <w:color w:val="auto"/>
                <w:kern w:val="0"/>
                <w:sz w:val="21"/>
                <w:szCs w:val="21"/>
              </w:rPr>
              <w:t>1</w:t>
            </w:r>
            <w:r>
              <w:rPr>
                <w:rFonts w:hint="eastAsia" w:ascii="Times New Roman" w:hAnsi="Times New Roman" w:cs="Times New Roman"/>
                <w:color w:val="auto"/>
                <w:kern w:val="0"/>
                <w:sz w:val="21"/>
                <w:szCs w:val="21"/>
              </w:rPr>
              <w:t>分钟考核</w:t>
            </w:r>
            <w:r>
              <w:rPr>
                <w:rFonts w:hint="eastAsia" w:ascii="Times New Roman" w:hAnsi="Times New Roman" w:cs="Times New Roman"/>
                <w:color w:val="auto"/>
                <w:kern w:val="0"/>
                <w:sz w:val="21"/>
                <w:szCs w:val="21"/>
                <w:lang w:val="en-US" w:eastAsia="zh-CN"/>
              </w:rPr>
              <w:t>5</w:t>
            </w:r>
            <w:r>
              <w:rPr>
                <w:rFonts w:ascii="Times New Roman" w:hAnsi="Times New Roman" w:cs="Times New Roman"/>
                <w:color w:val="auto"/>
                <w:kern w:val="0"/>
                <w:sz w:val="21"/>
                <w:szCs w:val="21"/>
              </w:rPr>
              <w:t>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270" w:hRule="atLeast"/>
          <w:jc w:val="center"/>
        </w:trPr>
        <w:tc>
          <w:tcPr>
            <w:tcW w:w="308"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w:t>
            </w:r>
          </w:p>
        </w:tc>
        <w:tc>
          <w:tcPr>
            <w:tcW w:w="614"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kern w:val="0"/>
                <w:sz w:val="21"/>
                <w:szCs w:val="21"/>
                <w:lang w:eastAsia="zh-CN"/>
              </w:rPr>
              <w:t>耐材寿命</w:t>
            </w: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出钢口</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lang w:val="en-US" w:eastAsia="zh-CN"/>
              </w:rPr>
              <w:t>230</w:t>
            </w:r>
            <w:r>
              <w:rPr>
                <w:rFonts w:hint="eastAsia" w:ascii="Times New Roman" w:hAnsi="Times New Roman" w:cs="Times New Roman"/>
                <w:color w:val="auto"/>
                <w:kern w:val="0"/>
                <w:sz w:val="21"/>
                <w:szCs w:val="21"/>
              </w:rPr>
              <w:t>次</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使用每少一次考核</w:t>
            </w:r>
            <w:r>
              <w:rPr>
                <w:rFonts w:ascii="Times New Roman" w:hAnsi="Times New Roman" w:cs="Times New Roman"/>
                <w:color w:val="auto"/>
                <w:kern w:val="0"/>
                <w:sz w:val="21"/>
                <w:szCs w:val="21"/>
              </w:rPr>
              <w:t>10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270"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2539" w:type="pct"/>
            <w:tcBorders>
              <w:top w:val="single" w:color="auto" w:sz="4" w:space="0"/>
              <w:left w:val="single" w:color="auto" w:sz="4" w:space="0"/>
              <w:bottom w:val="single" w:color="auto" w:sz="4" w:space="0"/>
              <w:right w:val="single" w:color="auto" w:sz="4" w:space="0"/>
            </w:tcBorders>
            <w:noWrap/>
            <w:vAlign w:val="bottom"/>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内水口（首次）</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lang w:val="en-US" w:eastAsia="zh-CN"/>
              </w:rPr>
              <w:t>50</w:t>
            </w:r>
            <w:r>
              <w:rPr>
                <w:rFonts w:hint="eastAsia" w:ascii="Times New Roman" w:hAnsi="Times New Roman" w:cs="Times New Roman"/>
                <w:color w:val="auto"/>
                <w:kern w:val="0"/>
                <w:sz w:val="21"/>
                <w:szCs w:val="21"/>
              </w:rPr>
              <w:t>次</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使用每少一次考核</w:t>
            </w:r>
            <w:r>
              <w:rPr>
                <w:rFonts w:ascii="Times New Roman" w:hAnsi="Times New Roman" w:cs="Times New Roman"/>
                <w:color w:val="auto"/>
                <w:kern w:val="0"/>
                <w:sz w:val="21"/>
                <w:szCs w:val="21"/>
              </w:rPr>
              <w:t>100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270" w:hRule="atLeast"/>
          <w:jc w:val="center"/>
        </w:trPr>
        <w:tc>
          <w:tcPr>
            <w:tcW w:w="3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rPr>
                <w:rFonts w:ascii="Times New Roman" w:hAnsi="Times New Roman" w:cs="Times New Roman"/>
                <w:color w:val="auto"/>
                <w:kern w:val="0"/>
                <w:sz w:val="21"/>
                <w:szCs w:val="21"/>
              </w:rPr>
            </w:pPr>
          </w:p>
        </w:tc>
        <w:tc>
          <w:tcPr>
            <w:tcW w:w="2539" w:type="pct"/>
            <w:tcBorders>
              <w:top w:val="single" w:color="auto" w:sz="4" w:space="0"/>
              <w:left w:val="single" w:color="auto" w:sz="4" w:space="0"/>
              <w:bottom w:val="single" w:color="auto" w:sz="4" w:space="0"/>
              <w:right w:val="single" w:color="auto" w:sz="4" w:space="0"/>
            </w:tcBorders>
            <w:vAlign w:val="bottom"/>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滑板、外水口</w:t>
            </w:r>
            <w:r>
              <w:rPr>
                <w:rFonts w:ascii="Times New Roman" w:hAnsi="Times New Roman" w:cs="Times New Roman"/>
                <w:color w:val="auto"/>
                <w:kern w:val="0"/>
                <w:sz w:val="21"/>
                <w:szCs w:val="21"/>
              </w:rPr>
              <w:t>≥</w:t>
            </w:r>
            <w:r>
              <w:rPr>
                <w:rFonts w:hint="eastAsia" w:ascii="Times New Roman" w:hAnsi="Times New Roman" w:cs="Times New Roman"/>
                <w:color w:val="auto"/>
                <w:kern w:val="0"/>
                <w:sz w:val="21"/>
                <w:szCs w:val="21"/>
                <w:lang w:val="en-US" w:eastAsia="zh-CN"/>
              </w:rPr>
              <w:t>15</w:t>
            </w:r>
            <w:r>
              <w:rPr>
                <w:rFonts w:hint="eastAsia" w:ascii="Times New Roman" w:hAnsi="Times New Roman" w:cs="Times New Roman"/>
                <w:color w:val="auto"/>
                <w:kern w:val="0"/>
                <w:sz w:val="21"/>
                <w:szCs w:val="21"/>
              </w:rPr>
              <w:t>次</w:t>
            </w:r>
          </w:p>
        </w:tc>
        <w:tc>
          <w:tcPr>
            <w:tcW w:w="1537" w:type="pct"/>
            <w:tcBorders>
              <w:top w:val="single" w:color="auto" w:sz="4" w:space="0"/>
              <w:left w:val="single" w:color="auto" w:sz="4" w:space="0"/>
              <w:bottom w:val="single" w:color="auto" w:sz="4" w:space="0"/>
              <w:right w:val="single" w:color="auto" w:sz="4" w:space="0"/>
            </w:tcBorders>
            <w:noWrap/>
            <w:vAlign w:val="center"/>
          </w:tcPr>
          <w:p>
            <w:pPr>
              <w:widowControl/>
              <w:rPr>
                <w:rFonts w:ascii="Times New Roman" w:hAnsi="Times New Roman" w:cs="Times New Roman"/>
                <w:color w:val="auto"/>
                <w:kern w:val="0"/>
                <w:sz w:val="21"/>
                <w:szCs w:val="21"/>
              </w:rPr>
            </w:pPr>
            <w:r>
              <w:rPr>
                <w:rFonts w:hint="eastAsia" w:ascii="Times New Roman" w:hAnsi="Times New Roman" w:cs="Times New Roman"/>
                <w:color w:val="auto"/>
                <w:kern w:val="0"/>
                <w:sz w:val="21"/>
                <w:szCs w:val="21"/>
              </w:rPr>
              <w:t>使用每少一次考核</w:t>
            </w:r>
            <w:r>
              <w:rPr>
                <w:rFonts w:ascii="Times New Roman" w:hAnsi="Times New Roman" w:cs="Times New Roman"/>
                <w:color w:val="auto"/>
                <w:kern w:val="0"/>
                <w:sz w:val="21"/>
                <w:szCs w:val="21"/>
              </w:rPr>
              <w:t>100</w:t>
            </w:r>
            <w:r>
              <w:rPr>
                <w:rFonts w:hint="eastAsia" w:ascii="Times New Roman" w:hAnsi="Times New Roman" w:cs="Times New Roman"/>
                <w:color w:val="auto"/>
                <w:kern w:val="0"/>
                <w:sz w:val="21"/>
                <w:szCs w:val="21"/>
              </w:rPr>
              <w:t>元。</w:t>
            </w:r>
          </w:p>
        </w:tc>
      </w:tr>
      <w:tr>
        <w:tblPrEx>
          <w:tblCellMar>
            <w:top w:w="0" w:type="dxa"/>
            <w:left w:w="108" w:type="dxa"/>
            <w:bottom w:w="0" w:type="dxa"/>
            <w:right w:w="108" w:type="dxa"/>
          </w:tblCellMar>
        </w:tblPrEx>
        <w:trPr>
          <w:trHeight w:val="258"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4</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eastAsia="宋体" w:cs="Times New Roman"/>
                <w:color w:val="auto"/>
                <w:kern w:val="0"/>
                <w:sz w:val="21"/>
                <w:szCs w:val="21"/>
                <w:lang w:eastAsia="zh-CN"/>
              </w:rPr>
            </w:pPr>
            <w:r>
              <w:rPr>
                <w:rFonts w:hint="eastAsia" w:ascii="Times New Roman" w:hAnsi="Times New Roman" w:cs="Times New Roman"/>
                <w:color w:val="auto"/>
                <w:sz w:val="21"/>
                <w:szCs w:val="21"/>
                <w:lang w:eastAsia="zh-CN"/>
              </w:rPr>
              <w:t>能源介质</w:t>
            </w:r>
          </w:p>
        </w:tc>
        <w:tc>
          <w:tcPr>
            <w:tcW w:w="2539"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满足相关标准</w:t>
            </w:r>
          </w:p>
        </w:tc>
        <w:tc>
          <w:tcPr>
            <w:tcW w:w="1537" w:type="pct"/>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eastAsia="宋体" w:cs="Times New Roman"/>
                <w:color w:val="auto"/>
                <w:kern w:val="0"/>
                <w:sz w:val="21"/>
                <w:szCs w:val="21"/>
                <w:lang w:val="en-US" w:eastAsia="zh-CN"/>
              </w:rPr>
            </w:pPr>
            <w:r>
              <w:rPr>
                <w:rFonts w:hint="eastAsia" w:ascii="宋体" w:hAnsi="宋体" w:eastAsia="宋体" w:cs="宋体"/>
                <w:i w:val="0"/>
                <w:color w:val="auto"/>
                <w:kern w:val="0"/>
                <w:sz w:val="21"/>
                <w:szCs w:val="21"/>
                <w:u w:val="none"/>
                <w:lang w:val="en-US" w:eastAsia="zh-CN" w:bidi="ar"/>
              </w:rPr>
              <w:t>根据甲方相关安全制度考核</w:t>
            </w:r>
          </w:p>
        </w:tc>
      </w:tr>
      <w:tr>
        <w:tblPrEx>
          <w:tblCellMar>
            <w:top w:w="0" w:type="dxa"/>
            <w:left w:w="108" w:type="dxa"/>
            <w:bottom w:w="0" w:type="dxa"/>
            <w:right w:w="108" w:type="dxa"/>
          </w:tblCellMar>
        </w:tblPrEx>
        <w:trPr>
          <w:trHeight w:val="258" w:hRule="atLeast"/>
          <w:jc w:val="center"/>
        </w:trPr>
        <w:tc>
          <w:tcPr>
            <w:tcW w:w="308"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5</w:t>
            </w:r>
          </w:p>
        </w:tc>
        <w:tc>
          <w:tcPr>
            <w:tcW w:w="614" w:type="pct"/>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安全</w:t>
            </w:r>
          </w:p>
        </w:tc>
        <w:tc>
          <w:tcPr>
            <w:tcW w:w="2539" w:type="pct"/>
            <w:tcBorders>
              <w:top w:val="single" w:color="auto" w:sz="4" w:space="0"/>
              <w:left w:val="single" w:color="auto" w:sz="4" w:space="0"/>
              <w:bottom w:val="single" w:color="auto" w:sz="4" w:space="0"/>
              <w:right w:val="single" w:color="auto" w:sz="4" w:space="0"/>
            </w:tcBorders>
            <w:noWrap/>
            <w:vAlign w:val="center"/>
          </w:tcPr>
          <w:p>
            <w:pPr>
              <w:widowControl/>
              <w:rPr>
                <w:rFonts w:hint="eastAsia" w:ascii="Times New Roman" w:hAnsi="Times New Roman" w:cs="Times New Roman"/>
                <w:color w:val="auto"/>
                <w:kern w:val="0"/>
                <w:sz w:val="21"/>
                <w:szCs w:val="21"/>
              </w:rPr>
            </w:pPr>
            <w:r>
              <w:rPr>
                <w:rFonts w:hint="eastAsia" w:ascii="Times New Roman" w:hAnsi="Times New Roman" w:cs="Times New Roman"/>
                <w:color w:val="auto"/>
                <w:kern w:val="0"/>
                <w:sz w:val="21"/>
                <w:szCs w:val="21"/>
              </w:rPr>
              <w:t>满足相关标准</w:t>
            </w:r>
          </w:p>
        </w:tc>
        <w:tc>
          <w:tcPr>
            <w:tcW w:w="1537" w:type="pct"/>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根据</w:t>
            </w:r>
            <w:r>
              <w:rPr>
                <w:rFonts w:hint="eastAsia" w:ascii="Times New Roman" w:hAnsi="Times New Roman" w:cs="Times New Roman"/>
                <w:sz w:val="21"/>
                <w:szCs w:val="21"/>
                <w:lang w:eastAsia="zh-CN"/>
              </w:rPr>
              <w:t>甲方</w:t>
            </w:r>
            <w:r>
              <w:rPr>
                <w:rFonts w:hint="eastAsia" w:ascii="Times New Roman" w:hAnsi="Times New Roman" w:cs="Times New Roman"/>
                <w:sz w:val="21"/>
                <w:szCs w:val="21"/>
              </w:rPr>
              <w:t>安全制度考核</w:t>
            </w:r>
          </w:p>
        </w:tc>
      </w:tr>
    </w:tbl>
    <w:p>
      <w:pPr>
        <w:keepNext w:val="0"/>
        <w:keepLines w:val="0"/>
        <w:widowControl/>
        <w:suppressLineNumbers w:val="0"/>
        <w:jc w:val="left"/>
        <w:rPr>
          <w:rFonts w:hint="eastAsia" w:ascii="_GB2312" w:hAnsi="_GB2312" w:eastAsia="_GB2312" w:cs="_GB2312"/>
          <w:color w:val="FF0000"/>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在生产过程中由于乙方机构备件或耐材质量原因造成影响生产的事故，经双方确认后，由乙方负责赔偿甲方的直接损失（赔偿损失计算：按照事故造成的产量损失、成本损失、设备损坏进行计算），间接损失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（2）乙方承包人员在甲方炼钢部生产过程中，必须执行各种规章制度，按炼钢部的相应考核办法进行考核，考核在当月结算中体现。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（3）乙方进行工艺调整试验，必须出纸质版申请报告，经甲方同意后方可进行，因试验造成的甲方损失由乙方承担；如果未经甲方允许，乙方私自进行工艺调整试验，考核</w:t>
      </w:r>
      <w:r>
        <w:rPr>
          <w:rFonts w:hint="eastAsia" w:ascii="宋体" w:hAnsi="宋体" w:cs="宋体"/>
          <w:sz w:val="24"/>
          <w:szCs w:val="24"/>
          <w:lang w:val="en-US" w:eastAsia="zh-CN"/>
        </w:rPr>
        <w:t>2</w:t>
      </w:r>
      <w:r>
        <w:rPr>
          <w:rFonts w:hint="eastAsia" w:ascii="宋体" w:hAnsi="宋体" w:cs="宋体"/>
          <w:sz w:val="24"/>
          <w:szCs w:val="24"/>
        </w:rPr>
        <w:t>0000元/次，并承担甲方损失。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（4）乙方必须遵守甲方的《现场管理制度》等各项规章制度，出现不服从甲方安排或在甲方规定的时间内不整改的，按相应制度考核。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（5）正常情况下滑板更换时间不大于</w:t>
      </w:r>
      <w:r>
        <w:rPr>
          <w:rFonts w:hint="eastAsia" w:ascii="宋体" w:hAnsi="宋体" w:cs="宋体"/>
          <w:sz w:val="24"/>
          <w:szCs w:val="24"/>
          <w:lang w:val="en-US" w:eastAsia="zh-CN"/>
        </w:rPr>
        <w:t>13</w:t>
      </w:r>
      <w:r>
        <w:rPr>
          <w:rFonts w:hint="eastAsia" w:ascii="宋体" w:hAnsi="宋体" w:cs="宋体"/>
          <w:sz w:val="24"/>
          <w:szCs w:val="24"/>
        </w:rPr>
        <w:t>min，滑板和内水口更换时间不大于</w:t>
      </w:r>
      <w:r>
        <w:rPr>
          <w:rFonts w:hint="eastAsia" w:ascii="宋体" w:hAnsi="宋体" w:cs="宋体"/>
          <w:sz w:val="24"/>
          <w:szCs w:val="24"/>
          <w:lang w:val="en-US" w:eastAsia="zh-CN"/>
        </w:rPr>
        <w:t>16</w:t>
      </w:r>
      <w:r>
        <w:rPr>
          <w:rFonts w:hint="eastAsia" w:ascii="宋体" w:hAnsi="宋体" w:cs="宋体"/>
          <w:sz w:val="24"/>
          <w:szCs w:val="24"/>
        </w:rPr>
        <w:t>min。因乙方原因造成的超时，每超1分钟考核50元，以更换架到位，叉车离开开始计时。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（6）因甲方原因提前更换滑板导致寿命小于15次不予考核。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）因甲方生产计划调整更换出钢口，出钢口寿命小于</w:t>
      </w:r>
      <w:r>
        <w:rPr>
          <w:rFonts w:hint="eastAsia" w:ascii="宋体" w:hAnsi="宋体" w:cs="宋体"/>
          <w:sz w:val="24"/>
          <w:szCs w:val="24"/>
          <w:lang w:val="en-US" w:eastAsia="zh-CN"/>
        </w:rPr>
        <w:t>230次不予考核。</w:t>
      </w:r>
    </w:p>
    <w:p>
      <w:pPr>
        <w:spacing w:line="360" w:lineRule="auto"/>
        <w:rPr>
          <w:rFonts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结算办法</w:t>
      </w:r>
    </w:p>
    <w:p>
      <w:pPr>
        <w:spacing w:line="360" w:lineRule="auto"/>
        <w:ind w:firstLine="480" w:firstLineChars="200"/>
        <w:rPr>
          <w:rFonts w:ascii="宋体" w:hAnsi="宋体" w:cs="宋体"/>
          <w:sz w:val="24"/>
          <w:szCs w:val="24"/>
        </w:rPr>
      </w:pPr>
      <w:r>
        <w:rPr>
          <w:rFonts w:hint="eastAsia" w:ascii="宋体" w:hAnsi="宋体" w:cs="宋体"/>
          <w:sz w:val="24"/>
          <w:szCs w:val="24"/>
        </w:rPr>
        <w:t>采用吨钢承包结算的方式，</w:t>
      </w:r>
      <w:bookmarkStart w:id="0" w:name="_GoBack"/>
      <w:bookmarkEnd w:id="0"/>
      <w:r>
        <w:rPr>
          <w:rFonts w:hint="eastAsia" w:ascii="宋体" w:hAnsi="宋体" w:cs="宋体"/>
          <w:sz w:val="24"/>
          <w:szCs w:val="24"/>
        </w:rPr>
        <w:t>基准价格</w:t>
      </w:r>
      <w:r>
        <w:rPr>
          <w:rFonts w:hint="eastAsia" w:ascii="宋体" w:hAnsi="宋体" w:cs="宋体"/>
          <w:sz w:val="24"/>
          <w:szCs w:val="24"/>
          <w:lang w:eastAsia="zh-CN"/>
        </w:rPr>
        <w:t>（含税）</w:t>
      </w:r>
      <w:r>
        <w:rPr>
          <w:rFonts w:hint="eastAsia" w:ascii="宋体" w:hAnsi="宋体" w:cs="宋体"/>
          <w:sz w:val="24"/>
          <w:szCs w:val="24"/>
        </w:rPr>
        <w:t>为</w:t>
      </w:r>
      <w:r>
        <w:rPr>
          <w:rFonts w:hint="eastAsia" w:ascii="宋体" w:hAnsi="宋体" w:cs="宋体"/>
          <w:sz w:val="24"/>
          <w:szCs w:val="24"/>
          <w:u w:val="single"/>
        </w:rPr>
        <w:t xml:space="preserve">      </w:t>
      </w:r>
      <w:r>
        <w:rPr>
          <w:rFonts w:hint="eastAsia" w:ascii="宋体" w:hAnsi="宋体" w:cs="宋体"/>
          <w:sz w:val="24"/>
          <w:szCs w:val="24"/>
        </w:rPr>
        <w:t>元/吨钢</w:t>
      </w:r>
      <w:r>
        <w:rPr>
          <w:rFonts w:hint="eastAsia" w:ascii="宋体" w:hAnsi="宋体" w:cs="宋体"/>
          <w:sz w:val="24"/>
          <w:szCs w:val="24"/>
          <w:lang w:val="en-US" w:eastAsia="zh-CN"/>
        </w:rPr>
        <w:t>(含出钢口)</w:t>
      </w:r>
      <w:r>
        <w:rPr>
          <w:rFonts w:hint="eastAsia" w:ascii="宋体" w:hAnsi="宋体" w:cs="宋体"/>
          <w:sz w:val="24"/>
          <w:szCs w:val="24"/>
        </w:rPr>
        <w:t>，乙方在甲方账户预留60万元质量保证金，甲方按月对乙方结算，结算方式为：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结算金额=当月炉座合格铸坯产量*基准价格—各项考核</w:t>
      </w:r>
    </w:p>
    <w:p>
      <w:pPr>
        <w:spacing w:line="360" w:lineRule="auto"/>
        <w:ind w:firstLine="480" w:firstLineChars="200"/>
        <w:rPr>
          <w:rFonts w:ascii="宋体" w:hAnsi="宋体" w:cs="宋体"/>
          <w:sz w:val="24"/>
          <w:szCs w:val="24"/>
        </w:rPr>
      </w:pPr>
      <w:r>
        <w:rPr>
          <w:rFonts w:hint="eastAsia" w:ascii="宋体" w:hAnsi="宋体" w:cs="宋体"/>
          <w:sz w:val="24"/>
          <w:szCs w:val="24"/>
        </w:rPr>
        <w:t>结算办法：每月初，甲方统计上月连铸合格坯产量和各种考核，计算出实际金额，经与乙方共同确认无误后报炉料部，炉料部通知乙方开具增值税专用发票给甲方结算；付款等事宜依照商务合同约定。</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当月炉座合格铸坯产量包含：</w:t>
      </w:r>
    </w:p>
    <w:p>
      <w:pPr>
        <w:spacing w:line="360" w:lineRule="auto"/>
        <w:ind w:left="840"/>
        <w:rPr>
          <w:rFonts w:hint="eastAsia" w:ascii="宋体" w:hAnsi="宋体" w:cs="宋体"/>
          <w:sz w:val="24"/>
          <w:szCs w:val="24"/>
          <w:highlight w:val="none"/>
        </w:rPr>
      </w:pPr>
      <w:r>
        <w:rPr>
          <w:rFonts w:hint="eastAsia" w:ascii="宋体" w:hAnsi="宋体" w:cs="宋体"/>
          <w:sz w:val="24"/>
          <w:szCs w:val="24"/>
          <w:highlight w:val="none"/>
        </w:rPr>
        <w:t>①甲方使用单滑滑板挡渣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w:t>
      </w:r>
    </w:p>
    <w:p>
      <w:pPr>
        <w:spacing w:line="360" w:lineRule="auto"/>
        <w:ind w:left="840"/>
        <w:rPr>
          <w:rFonts w:ascii="宋体" w:hAnsi="宋体" w:cs="宋体"/>
          <w:sz w:val="24"/>
          <w:szCs w:val="24"/>
          <w:highlight w:val="none"/>
        </w:rPr>
      </w:pPr>
      <w:r>
        <w:rPr>
          <w:rFonts w:hint="eastAsia" w:ascii="宋体" w:hAnsi="宋体" w:cs="宋体"/>
          <w:sz w:val="24"/>
          <w:szCs w:val="24"/>
          <w:highlight w:val="none"/>
        </w:rPr>
        <w:t>②甲方使用双挡渣（前后挡）时，按2倍单滑滑板挡渣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产量结算；</w:t>
      </w:r>
    </w:p>
    <w:p>
      <w:pPr>
        <w:spacing w:line="360" w:lineRule="auto"/>
        <w:ind w:left="840"/>
        <w:rPr>
          <w:rFonts w:hint="eastAsia" w:ascii="宋体" w:hAnsi="宋体" w:cs="宋体"/>
          <w:sz w:val="24"/>
          <w:szCs w:val="24"/>
          <w:highlight w:val="none"/>
        </w:rPr>
      </w:pPr>
      <w:r>
        <w:rPr>
          <w:rFonts w:hint="eastAsia" w:ascii="宋体" w:hAnsi="宋体" w:cs="宋体"/>
          <w:sz w:val="24"/>
          <w:szCs w:val="24"/>
          <w:highlight w:val="none"/>
        </w:rPr>
        <w:t>③甲方不使用滑板挡渣时，按0.3倍单滑滑板挡渣</w:t>
      </w:r>
      <w:r>
        <w:rPr>
          <w:rFonts w:hint="eastAsia" w:ascii="宋体" w:hAnsi="宋体" w:cs="宋体"/>
          <w:sz w:val="24"/>
          <w:szCs w:val="24"/>
          <w:highlight w:val="none"/>
          <w:lang w:eastAsia="zh-CN"/>
        </w:rPr>
        <w:t>合格铸坯</w:t>
      </w:r>
      <w:r>
        <w:rPr>
          <w:rFonts w:hint="eastAsia" w:ascii="宋体" w:hAnsi="宋体" w:cs="宋体"/>
          <w:sz w:val="24"/>
          <w:szCs w:val="24"/>
          <w:highlight w:val="none"/>
        </w:rPr>
        <w:t>产量结算。</w:t>
      </w:r>
    </w:p>
    <w:p>
      <w:pPr>
        <w:spacing w:line="360" w:lineRule="auto"/>
        <w:rPr>
          <w:rFonts w:ascii="宋体" w:hAnsi="宋体" w:cs="宋体"/>
          <w:b/>
          <w:bCs/>
          <w:sz w:val="24"/>
          <w:szCs w:val="24"/>
        </w:rPr>
      </w:pPr>
      <w:r>
        <w:rPr>
          <w:rFonts w:hint="eastAsia" w:ascii="宋体" w:hAnsi="宋体" w:cs="宋体"/>
          <w:b/>
          <w:bCs/>
          <w:sz w:val="24"/>
          <w:szCs w:val="24"/>
          <w:lang w:eastAsia="zh-CN"/>
        </w:rPr>
        <w:t>六、</w:t>
      </w:r>
      <w:r>
        <w:rPr>
          <w:rFonts w:hint="eastAsia" w:ascii="宋体" w:hAnsi="宋体" w:cs="宋体"/>
          <w:b/>
          <w:bCs/>
          <w:sz w:val="24"/>
          <w:szCs w:val="24"/>
        </w:rPr>
        <w:t>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、在合同签订之后，根据生产实际</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lang w:val="en-US" w:eastAsia="zh-CN"/>
        </w:rPr>
        <w:t>仍保留对其提供的技术要求提出补充要求和修改的权利，</w:t>
      </w:r>
      <w:r>
        <w:rPr>
          <w:rFonts w:hint="eastAsia" w:ascii="Times New Roman" w:hAnsi="Times New Roman" w:cs="Times New Roman"/>
          <w:sz w:val="24"/>
          <w:szCs w:val="24"/>
          <w:lang w:val="en-US" w:eastAsia="zh-CN"/>
        </w:rPr>
        <w:t>乙</w:t>
      </w:r>
      <w:r>
        <w:rPr>
          <w:rFonts w:hint="default" w:ascii="Times New Roman" w:hAnsi="Times New Roman" w:cs="Times New Roman"/>
          <w:sz w:val="24"/>
          <w:szCs w:val="24"/>
          <w:lang w:val="en-US" w:eastAsia="zh-CN"/>
        </w:rPr>
        <w:t>方应予以配合。修改的具体要求和条款由</w:t>
      </w:r>
      <w:r>
        <w:rPr>
          <w:rFonts w:hint="eastAsia" w:ascii="Times New Roman" w:hAnsi="Times New Roman" w:cs="Times New Roman"/>
          <w:sz w:val="24"/>
          <w:szCs w:val="24"/>
          <w:lang w:val="en-US" w:eastAsia="zh-CN"/>
        </w:rPr>
        <w:t>甲</w:t>
      </w:r>
      <w:r>
        <w:rPr>
          <w:rFonts w:hint="default" w:ascii="Times New Roman" w:hAnsi="Times New Roman" w:cs="Times New Roman"/>
          <w:sz w:val="24"/>
          <w:szCs w:val="24"/>
          <w:lang w:val="en-US" w:eastAsia="zh-CN"/>
        </w:rPr>
        <w:t>方和</w:t>
      </w:r>
      <w:r>
        <w:rPr>
          <w:rFonts w:hint="eastAsia" w:ascii="Times New Roman" w:hAnsi="Times New Roman" w:cs="Times New Roman"/>
          <w:sz w:val="24"/>
          <w:szCs w:val="24"/>
          <w:lang w:val="en-US" w:eastAsia="zh-CN"/>
        </w:rPr>
        <w:t>乙</w:t>
      </w:r>
      <w:r>
        <w:rPr>
          <w:rFonts w:hint="default" w:ascii="Times New Roman" w:hAnsi="Times New Roman" w:cs="Times New Roman"/>
          <w:sz w:val="24"/>
          <w:szCs w:val="24"/>
          <w:lang w:val="en-US" w:eastAsia="zh-CN"/>
        </w:rPr>
        <w:t>方商定。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乙方在承包过程中因技术等问题不能适应甲方生产，甲方有权终止承包合同</w:t>
      </w:r>
      <w:r>
        <w:rPr>
          <w:rFonts w:hint="eastAsia" w:ascii="Times New Roman" w:hAnsi="Times New Roman" w:cs="Times New Roman"/>
          <w:sz w:val="24"/>
          <w:szCs w:val="24"/>
          <w:lang w:eastAsia="zh-CN"/>
        </w:rPr>
        <w:t>，</w:t>
      </w:r>
      <w:r>
        <w:rPr>
          <w:rFonts w:hint="eastAsia" w:ascii="宋体" w:hAnsi="宋体"/>
          <w:color w:val="FF0000"/>
          <w:sz w:val="24"/>
          <w:szCs w:val="24"/>
          <w:u w:val="none" w:color="auto"/>
          <w:lang w:eastAsia="zh-CN"/>
        </w:rPr>
        <w:t>并扣除合同终止前</w:t>
      </w:r>
      <w:r>
        <w:rPr>
          <w:rFonts w:hint="eastAsia" w:ascii="宋体" w:hAnsi="宋体"/>
          <w:color w:val="FF0000"/>
          <w:sz w:val="24"/>
          <w:szCs w:val="24"/>
          <w:u w:val="none" w:color="auto"/>
          <w:lang w:val="en-US" w:eastAsia="zh-CN"/>
        </w:rPr>
        <w:t>2个月</w:t>
      </w:r>
      <w:r>
        <w:rPr>
          <w:rFonts w:hint="eastAsia" w:ascii="宋体" w:hAnsi="宋体"/>
          <w:color w:val="FF0000"/>
          <w:sz w:val="24"/>
          <w:szCs w:val="24"/>
          <w:u w:val="none" w:color="auto"/>
          <w:lang w:eastAsia="zh-CN"/>
        </w:rPr>
        <w:t>承包款的</w:t>
      </w:r>
      <w:r>
        <w:rPr>
          <w:rFonts w:hint="eastAsia" w:ascii="宋体" w:hAnsi="宋体"/>
          <w:color w:val="FF0000"/>
          <w:sz w:val="24"/>
          <w:szCs w:val="24"/>
          <w:u w:val="none" w:color="auto"/>
          <w:lang w:val="en-US" w:eastAsia="zh-CN"/>
        </w:rPr>
        <w:t>20%</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0" w:beforeLines="0" w:line="360" w:lineRule="auto"/>
        <w:ind w:left="0" w:leftChars="0" w:right="0" w:rightChars="0" w:firstLine="480" w:firstLineChars="20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、承包期内，若乙方因故不能继续提供承包服务的，需提前3个月向甲方提出书面申请，</w:t>
      </w:r>
      <w:r>
        <w:rPr>
          <w:rFonts w:hint="default" w:ascii="Times New Roman" w:hAnsi="Times New Roman" w:cs="Times New Roman"/>
          <w:sz w:val="24"/>
          <w:szCs w:val="24"/>
        </w:rPr>
        <w:t>经</w:t>
      </w:r>
      <w:r>
        <w:rPr>
          <w:rFonts w:hint="default" w:ascii="Times New Roman" w:hAnsi="Times New Roman" w:cs="Times New Roman"/>
          <w:sz w:val="24"/>
          <w:szCs w:val="24"/>
          <w:lang w:eastAsia="zh-CN"/>
        </w:rPr>
        <w:t>甲方</w:t>
      </w:r>
      <w:r>
        <w:rPr>
          <w:rFonts w:hint="default" w:ascii="Times New Roman" w:hAnsi="Times New Roman" w:cs="Times New Roman"/>
          <w:sz w:val="24"/>
          <w:szCs w:val="24"/>
        </w:rPr>
        <w:t>同意后方可终止协议，并办理交接清算手续，未经同意即单方面终止本协议，必须赔偿</w:t>
      </w:r>
      <w:r>
        <w:rPr>
          <w:rFonts w:hint="default" w:ascii="Times New Roman" w:hAnsi="Times New Roman" w:cs="Times New Roman"/>
          <w:sz w:val="24"/>
          <w:szCs w:val="24"/>
          <w:lang w:eastAsia="zh-CN"/>
        </w:rPr>
        <w:t>甲方</w:t>
      </w:r>
      <w:r>
        <w:rPr>
          <w:rFonts w:hint="default" w:ascii="Times New Roman" w:hAnsi="Times New Roman" w:cs="Times New Roman"/>
          <w:sz w:val="24"/>
          <w:szCs w:val="24"/>
        </w:rPr>
        <w:t>由此产生的一切损失。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甲方与乙方签订</w:t>
      </w:r>
      <w:r>
        <w:rPr>
          <w:rFonts w:hint="default" w:ascii="Times New Roman" w:hAnsi="Times New Roman" w:cs="Times New Roman"/>
          <w:strike w:val="0"/>
          <w:dstrike w:val="0"/>
          <w:color w:val="FF0000"/>
          <w:sz w:val="24"/>
          <w:szCs w:val="24"/>
        </w:rPr>
        <w:t>《安全环保协议》与《综合治理协议》</w:t>
      </w:r>
      <w:r>
        <w:rPr>
          <w:rFonts w:hint="default" w:ascii="Times New Roman" w:hAnsi="Times New Roman" w:cs="Times New Roman"/>
          <w:strike w:val="0"/>
          <w:sz w:val="24"/>
          <w:szCs w:val="24"/>
        </w:rPr>
        <w:t>，这</w:t>
      </w:r>
      <w:r>
        <w:rPr>
          <w:rFonts w:hint="default" w:ascii="Times New Roman" w:hAnsi="Times New Roman" w:cs="Times New Roman"/>
          <w:sz w:val="24"/>
          <w:szCs w:val="24"/>
        </w:rPr>
        <w:t>两项协议作为附属协议，具有合同的法律效力，甲乙双方必须严格遵守，签订两项协议后乙方方可甲方现场作业。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本协议是合同的重要组成部分，甲乙双方必须严格遵守，在执行过程中发生的争议，由双方协商解决，协商不成的由企业所在地人民法院裁决。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本协议一式三份，甲方两份，乙方一份，经双方签字或盖章后生效。</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exact"/>
        <w:rPr>
          <w:rFonts w:ascii="宋体" w:hAnsi="宋体" w:cs="宋体"/>
          <w:b/>
          <w:sz w:val="24"/>
          <w:szCs w:val="24"/>
        </w:rPr>
      </w:pPr>
    </w:p>
    <w:sectPr>
      <w:pgSz w:w="11906" w:h="16838"/>
      <w:pgMar w:top="1134" w:right="907" w:bottom="1134" w:left="90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_GB2312">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3A3CB"/>
    <w:multiLevelType w:val="singleLevel"/>
    <w:tmpl w:val="6ED3A3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1A12"/>
    <w:rsid w:val="02DB2CBF"/>
    <w:rsid w:val="097D63F4"/>
    <w:rsid w:val="0E904AEE"/>
    <w:rsid w:val="19C76585"/>
    <w:rsid w:val="1B854963"/>
    <w:rsid w:val="27224F3E"/>
    <w:rsid w:val="29B25ECA"/>
    <w:rsid w:val="2A5A3532"/>
    <w:rsid w:val="2E0331A8"/>
    <w:rsid w:val="30CD6C3B"/>
    <w:rsid w:val="36E175B5"/>
    <w:rsid w:val="38144C1F"/>
    <w:rsid w:val="3A13657B"/>
    <w:rsid w:val="3CA716F2"/>
    <w:rsid w:val="3E341C07"/>
    <w:rsid w:val="3FF90EEB"/>
    <w:rsid w:val="4B6A4524"/>
    <w:rsid w:val="4D8A4912"/>
    <w:rsid w:val="57C53C78"/>
    <w:rsid w:val="60A2760D"/>
    <w:rsid w:val="620A452B"/>
    <w:rsid w:val="660D3F98"/>
    <w:rsid w:val="668A1F4E"/>
    <w:rsid w:val="7CF74A8B"/>
    <w:rsid w:val="7DCC38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link w:val="2"/>
    <w:semiHidden/>
    <w:qFormat/>
    <w:uiPriority w:val="0"/>
    <w:rPr>
      <w:sz w:val="18"/>
      <w:szCs w:val="18"/>
    </w:rPr>
  </w:style>
  <w:style w:type="character" w:customStyle="1" w:styleId="8">
    <w:name w:val="页眉 Char"/>
    <w:link w:val="3"/>
    <w:semiHidden/>
    <w:qFormat/>
    <w:uiPriority w:val="0"/>
    <w:rPr>
      <w:sz w:val="18"/>
      <w:szCs w:val="18"/>
    </w:rPr>
  </w:style>
  <w:style w:type="paragraph" w:customStyle="1" w:styleId="9">
    <w:name w:val="批注框文本 Char Char"/>
    <w:basedOn w:val="1"/>
    <w:link w:val="10"/>
    <w:qFormat/>
    <w:uiPriority w:val="0"/>
    <w:rPr>
      <w:sz w:val="18"/>
      <w:szCs w:val="18"/>
    </w:rPr>
  </w:style>
  <w:style w:type="character" w:customStyle="1" w:styleId="10">
    <w:name w:val="批注框文本 字符"/>
    <w:link w:val="9"/>
    <w:semiHidden/>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488</Words>
  <Characters>2788</Characters>
  <Lines>23</Lines>
  <Paragraphs>6</Paragraphs>
  <TotalTime>3</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2020-02-29T02:06:00Z</dcterms:created>
  <dc:creator>em</dc:creator>
  <cp:lastModifiedBy>回归宁静</cp:lastModifiedBy>
  <cp:lastPrinted>2021-09-14T04:16:00Z</cp:lastPrinted>
  <dcterms:modified xsi:type="dcterms:W3CDTF">2021-10-06T08:21:02Z</dcterms:modified>
  <dc:title>56833101@qq.com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9FC3C9EE948C4F6D84DF354DE4CCBBD2</vt:lpwstr>
  </property>
</Properties>
</file>