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炼铁铁水罐砌筑维护</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13</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TQSC</w:t>
      </w:r>
      <w:r>
        <w:rPr>
          <w:rFonts w:hint="eastAsia" w:ascii="宋体" w:hAnsi="宋体"/>
          <w:u w:val="single"/>
          <w:lang w:val="en-US" w:eastAsia="zh-CN"/>
        </w:rPr>
        <w:t>20210100005TSGQZWH</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炼铁铁水罐砌筑维护</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物资采购部：       柯  工    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铁  前</w:t>
      </w:r>
      <w:r>
        <w:rPr>
          <w:rFonts w:hint="eastAsia" w:ascii="宋体" w:hAnsi="宋体" w:eastAsia="宋体" w:cs="Times New Roman"/>
          <w:kern w:val="2"/>
          <w:sz w:val="24"/>
          <w:szCs w:val="24"/>
          <w:highlight w:val="none"/>
          <w:lang w:val="en-US" w:eastAsia="zh-CN" w:bidi="ar-SA"/>
        </w:rPr>
        <w:t xml:space="preserve">  部：       王  工    </w:t>
      </w:r>
      <w:r>
        <w:rPr>
          <w:rFonts w:hint="eastAsia" w:ascii="宋体" w:hAnsi="宋体" w:cs="Times New Roman"/>
          <w:kern w:val="2"/>
          <w:sz w:val="24"/>
          <w:szCs w:val="24"/>
          <w:highlight w:val="none"/>
          <w:lang w:val="en-US" w:eastAsia="zh-CN" w:bidi="ar-SA"/>
        </w:rPr>
        <w:t>18010795583</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11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4</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bCs/>
          <w:color w:val="7030A0"/>
          <w:sz w:val="24"/>
          <w:szCs w:val="24"/>
          <w:lang w:val="en-US" w:eastAsia="zh-CN"/>
        </w:rPr>
        <w:t>1</w:t>
      </w:r>
      <w:bookmarkStart w:id="0" w:name="_GoBack"/>
      <w:bookmarkEnd w:id="0"/>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炼铁两座1280立方高炉120T 铁罐砌筑及维护，年产量约300万吨。</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具体技术要求、考核办法、结算方式详见铁水罐砌筑维护技术协议统一平台。投标厂家必须满足统一平台技术要求。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要求专业耐材生产企业。提供2018年至今（以签定合同时间为准），3份及以上国内大型钢企120吨及以上级别铁水罐年度承包合同业绩。</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投标保证金缴纳5万元，中标后按公司要求缴纳60万安全保证金。</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招标合同执行周期为一年。</w:t>
      </w:r>
    </w:p>
    <w:p>
      <w:pPr>
        <w:numPr>
          <w:ilvl w:val="0"/>
          <w:numId w:val="0"/>
        </w:numPr>
        <w:spacing w:line="360" w:lineRule="auto"/>
        <w:ind w:firstLine="964" w:firstLineChars="400"/>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Theme="minorEastAsia" w:hAnsiTheme="minorEastAsia" w:eastAsiaTheme="minorEastAsia"/>
          <w:color w:val="000000"/>
          <w:sz w:val="28"/>
          <w:szCs w:val="28"/>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炼铁铁水罐砌筑维护</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pPr w:leftFromText="180" w:rightFromText="180" w:vertAnchor="text" w:horzAnchor="page" w:tblpX="1173" w:tblpY="635"/>
        <w:tblOverlap w:val="never"/>
        <w:tblW w:w="58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6"/>
        <w:gridCol w:w="4597"/>
        <w:gridCol w:w="11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5" w:type="pct"/>
            <w:noWrap w:val="0"/>
            <w:vAlign w:val="center"/>
          </w:tcPr>
          <w:p>
            <w:pPr>
              <w:jc w:val="center"/>
              <w:rPr>
                <w:rFonts w:hint="eastAsia"/>
                <w:sz w:val="18"/>
                <w:szCs w:val="18"/>
              </w:rPr>
            </w:pPr>
            <w:r>
              <w:rPr>
                <w:rFonts w:hint="eastAsia"/>
                <w:sz w:val="18"/>
                <w:szCs w:val="18"/>
              </w:rPr>
              <w:t>序号</w:t>
            </w:r>
          </w:p>
        </w:tc>
        <w:tc>
          <w:tcPr>
            <w:tcW w:w="1148"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309" w:type="pct"/>
            <w:noWrap w:val="0"/>
            <w:vAlign w:val="center"/>
          </w:tcPr>
          <w:p>
            <w:pPr>
              <w:jc w:val="center"/>
              <w:rPr>
                <w:rFonts w:hint="eastAsia"/>
                <w:sz w:val="18"/>
                <w:szCs w:val="18"/>
              </w:rPr>
            </w:pPr>
            <w:r>
              <w:rPr>
                <w:rFonts w:hint="eastAsia"/>
                <w:sz w:val="18"/>
                <w:szCs w:val="18"/>
              </w:rPr>
              <w:t>含税、含运费报价（元/吨</w:t>
            </w:r>
            <w:r>
              <w:rPr>
                <w:rFonts w:hint="eastAsia"/>
                <w:sz w:val="18"/>
                <w:szCs w:val="18"/>
                <w:lang w:val="en-US" w:eastAsia="zh-CN"/>
              </w:rPr>
              <w:t>铁</w:t>
            </w:r>
            <w:r>
              <w:rPr>
                <w:rFonts w:hint="eastAsia"/>
                <w:sz w:val="18"/>
                <w:szCs w:val="18"/>
              </w:rPr>
              <w:t>）</w:t>
            </w:r>
          </w:p>
        </w:tc>
        <w:tc>
          <w:tcPr>
            <w:tcW w:w="555" w:type="pct"/>
            <w:noWrap w:val="0"/>
            <w:vAlign w:val="center"/>
          </w:tcPr>
          <w:p>
            <w:pPr>
              <w:jc w:val="center"/>
              <w:rPr>
                <w:rFonts w:hint="eastAsia"/>
                <w:sz w:val="18"/>
                <w:szCs w:val="18"/>
              </w:rPr>
            </w:pPr>
            <w:r>
              <w:rPr>
                <w:rFonts w:hint="eastAsia"/>
                <w:sz w:val="18"/>
                <w:szCs w:val="18"/>
              </w:rPr>
              <w:t>税率</w:t>
            </w:r>
          </w:p>
        </w:tc>
        <w:tc>
          <w:tcPr>
            <w:tcW w:w="639"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45" w:type="pct"/>
            <w:vMerge w:val="restart"/>
            <w:noWrap w:val="0"/>
            <w:vAlign w:val="center"/>
          </w:tcPr>
          <w:p>
            <w:pPr>
              <w:jc w:val="center"/>
              <w:rPr>
                <w:sz w:val="24"/>
                <w:szCs w:val="24"/>
              </w:rPr>
            </w:pPr>
            <w:r>
              <w:rPr>
                <w:rFonts w:hint="eastAsia"/>
                <w:sz w:val="24"/>
                <w:szCs w:val="24"/>
              </w:rPr>
              <w:t>1</w:t>
            </w:r>
          </w:p>
        </w:tc>
        <w:tc>
          <w:tcPr>
            <w:tcW w:w="1148"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u w:val="none"/>
                <w:lang w:val="en-US" w:eastAsia="zh-CN"/>
              </w:rPr>
              <w:t>炼铁铁水罐砌筑维护</w:t>
            </w:r>
          </w:p>
        </w:tc>
        <w:tc>
          <w:tcPr>
            <w:tcW w:w="2309"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w:t>
            </w:r>
            <w:r>
              <w:rPr>
                <w:rFonts w:hint="eastAsia"/>
                <w:sz w:val="18"/>
                <w:szCs w:val="18"/>
                <w:lang w:val="en-US" w:eastAsia="zh-CN"/>
              </w:rPr>
              <w:t>铁</w:t>
            </w:r>
            <w:r>
              <w:rPr>
                <w:rFonts w:hint="eastAsia"/>
                <w:sz w:val="18"/>
                <w:szCs w:val="18"/>
              </w:rPr>
              <w:t>）</w:t>
            </w:r>
          </w:p>
        </w:tc>
        <w:tc>
          <w:tcPr>
            <w:tcW w:w="555" w:type="pct"/>
            <w:vMerge w:val="restart"/>
            <w:noWrap w:val="0"/>
            <w:vAlign w:val="top"/>
          </w:tcPr>
          <w:p>
            <w:pPr>
              <w:jc w:val="center"/>
              <w:rPr>
                <w:rFonts w:hint="eastAsia"/>
                <w:sz w:val="28"/>
                <w:szCs w:val="28"/>
              </w:rPr>
            </w:pPr>
          </w:p>
        </w:tc>
        <w:tc>
          <w:tcPr>
            <w:tcW w:w="639" w:type="pct"/>
            <w:vMerge w:val="restart"/>
            <w:noWrap w:val="0"/>
            <w:vAlign w:val="top"/>
          </w:tcPr>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45" w:type="pct"/>
            <w:vMerge w:val="continue"/>
            <w:noWrap w:val="0"/>
            <w:vAlign w:val="center"/>
          </w:tcPr>
          <w:p>
            <w:pPr>
              <w:jc w:val="center"/>
              <w:rPr>
                <w:rFonts w:hint="eastAsia"/>
                <w:sz w:val="24"/>
                <w:szCs w:val="24"/>
              </w:rPr>
            </w:pPr>
          </w:p>
        </w:tc>
        <w:tc>
          <w:tcPr>
            <w:tcW w:w="1148" w:type="pct"/>
            <w:vMerge w:val="continue"/>
            <w:noWrap w:val="0"/>
            <w:vAlign w:val="center"/>
          </w:tcPr>
          <w:p>
            <w:pPr>
              <w:jc w:val="center"/>
              <w:rPr>
                <w:rFonts w:hint="eastAsia"/>
                <w:sz w:val="24"/>
                <w:szCs w:val="24"/>
              </w:rPr>
            </w:pPr>
          </w:p>
        </w:tc>
        <w:tc>
          <w:tcPr>
            <w:tcW w:w="2309" w:type="pct"/>
            <w:noWrap w:val="0"/>
            <w:vAlign w:val="top"/>
          </w:tcPr>
          <w:p>
            <w:pPr>
              <w:jc w:val="left"/>
              <w:rPr>
                <w:rFonts w:hint="eastAsia"/>
                <w:sz w:val="24"/>
                <w:szCs w:val="24"/>
              </w:rPr>
            </w:pPr>
          </w:p>
          <w:p>
            <w:pPr>
              <w:tabs>
                <w:tab w:val="left" w:pos="3061"/>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w:t>
            </w:r>
            <w:r>
              <w:rPr>
                <w:rFonts w:hint="eastAsia"/>
                <w:sz w:val="18"/>
                <w:szCs w:val="18"/>
              </w:rPr>
              <w:t>（元/吨</w:t>
            </w:r>
            <w:r>
              <w:rPr>
                <w:rFonts w:hint="eastAsia"/>
                <w:sz w:val="18"/>
                <w:szCs w:val="18"/>
                <w:lang w:val="en-US" w:eastAsia="zh-CN"/>
              </w:rPr>
              <w:t>铁</w:t>
            </w:r>
            <w:r>
              <w:rPr>
                <w:rFonts w:hint="eastAsia"/>
                <w:sz w:val="18"/>
                <w:szCs w:val="18"/>
              </w:rPr>
              <w:t>）</w:t>
            </w:r>
          </w:p>
        </w:tc>
        <w:tc>
          <w:tcPr>
            <w:tcW w:w="555" w:type="pct"/>
            <w:vMerge w:val="continue"/>
            <w:noWrap w:val="0"/>
            <w:vAlign w:val="top"/>
          </w:tcPr>
          <w:p>
            <w:pPr>
              <w:jc w:val="center"/>
              <w:rPr>
                <w:rFonts w:hint="eastAsia"/>
                <w:sz w:val="28"/>
                <w:szCs w:val="28"/>
              </w:rPr>
            </w:pPr>
          </w:p>
        </w:tc>
        <w:tc>
          <w:tcPr>
            <w:tcW w:w="639"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5"/>
            <w:noWrap w:val="0"/>
            <w:vAlign w:val="top"/>
          </w:tcPr>
          <w:p>
            <w:pPr>
              <w:rPr>
                <w:rFonts w:hint="eastAsia" w:eastAsia="宋体"/>
                <w:sz w:val="28"/>
                <w:szCs w:val="28"/>
                <w:lang w:eastAsia="zh-CN"/>
              </w:rPr>
            </w:pPr>
            <w:r>
              <w:rPr>
                <w:rFonts w:hint="eastAsia"/>
                <w:sz w:val="28"/>
                <w:szCs w:val="28"/>
              </w:rPr>
              <w:t>备注: 以上报价含税、含运费，一票制</w:t>
            </w:r>
            <w:r>
              <w:rPr>
                <w:rFonts w:hint="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0" w:type="pct"/>
            <w:gridSpan w:val="5"/>
            <w:noWrap w:val="0"/>
            <w:vAlign w:val="top"/>
          </w:tcPr>
          <w:p>
            <w:pPr>
              <w:rPr>
                <w:rFonts w:hint="eastAsia"/>
                <w:sz w:val="28"/>
                <w:szCs w:val="28"/>
              </w:rPr>
            </w:pPr>
            <w:r>
              <w:rPr>
                <w:rFonts w:hint="eastAsia"/>
                <w:sz w:val="28"/>
                <w:szCs w:val="28"/>
              </w:rPr>
              <w:t>日期：</w:t>
            </w:r>
          </w:p>
        </w:tc>
      </w:tr>
    </w:tbl>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48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CC0A80"/>
    <w:rsid w:val="0DF07D84"/>
    <w:rsid w:val="0E497616"/>
    <w:rsid w:val="0E842CB1"/>
    <w:rsid w:val="0F0803D8"/>
    <w:rsid w:val="0F347211"/>
    <w:rsid w:val="10031B51"/>
    <w:rsid w:val="10094A89"/>
    <w:rsid w:val="10CA64E1"/>
    <w:rsid w:val="110928F7"/>
    <w:rsid w:val="11654D47"/>
    <w:rsid w:val="11BA6270"/>
    <w:rsid w:val="12623A3F"/>
    <w:rsid w:val="135C10D5"/>
    <w:rsid w:val="139F3DA1"/>
    <w:rsid w:val="13D576D7"/>
    <w:rsid w:val="13DA5ADF"/>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B5669A2"/>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2FE462E"/>
    <w:rsid w:val="339D246B"/>
    <w:rsid w:val="342060A8"/>
    <w:rsid w:val="34BB556C"/>
    <w:rsid w:val="35212328"/>
    <w:rsid w:val="358603F2"/>
    <w:rsid w:val="36A65EF8"/>
    <w:rsid w:val="36A93A55"/>
    <w:rsid w:val="36FB2C59"/>
    <w:rsid w:val="373827F1"/>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98754A"/>
    <w:rsid w:val="3D522FF0"/>
    <w:rsid w:val="3D5A40AB"/>
    <w:rsid w:val="3D9F69C6"/>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75773D"/>
    <w:rsid w:val="47847BD9"/>
    <w:rsid w:val="47AD4330"/>
    <w:rsid w:val="480A05A9"/>
    <w:rsid w:val="48254A41"/>
    <w:rsid w:val="48582775"/>
    <w:rsid w:val="48836EA0"/>
    <w:rsid w:val="48C72F43"/>
    <w:rsid w:val="48E1049E"/>
    <w:rsid w:val="49056F4D"/>
    <w:rsid w:val="49280B38"/>
    <w:rsid w:val="492C5B3D"/>
    <w:rsid w:val="49A4783E"/>
    <w:rsid w:val="49CB6BF8"/>
    <w:rsid w:val="4A603B29"/>
    <w:rsid w:val="4A790DED"/>
    <w:rsid w:val="4A85340F"/>
    <w:rsid w:val="4ACE7F4F"/>
    <w:rsid w:val="4AED65F2"/>
    <w:rsid w:val="4B635392"/>
    <w:rsid w:val="4BA21255"/>
    <w:rsid w:val="4BAA769E"/>
    <w:rsid w:val="4DC66F68"/>
    <w:rsid w:val="4E091027"/>
    <w:rsid w:val="510A2956"/>
    <w:rsid w:val="514F2EE0"/>
    <w:rsid w:val="51A458AF"/>
    <w:rsid w:val="527F49C8"/>
    <w:rsid w:val="52C2227D"/>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382218"/>
    <w:rsid w:val="5D915ACD"/>
    <w:rsid w:val="5E093F5D"/>
    <w:rsid w:val="5E14032D"/>
    <w:rsid w:val="5E611270"/>
    <w:rsid w:val="5EB2026E"/>
    <w:rsid w:val="5EE6799F"/>
    <w:rsid w:val="5FA30C9C"/>
    <w:rsid w:val="5FE13E30"/>
    <w:rsid w:val="60883A59"/>
    <w:rsid w:val="60A608A8"/>
    <w:rsid w:val="61033D16"/>
    <w:rsid w:val="623E76D0"/>
    <w:rsid w:val="625B24D7"/>
    <w:rsid w:val="62CD795C"/>
    <w:rsid w:val="6438579B"/>
    <w:rsid w:val="655749FB"/>
    <w:rsid w:val="65892C9E"/>
    <w:rsid w:val="65E5671A"/>
    <w:rsid w:val="66EA0C9A"/>
    <w:rsid w:val="66FB3BC1"/>
    <w:rsid w:val="67023348"/>
    <w:rsid w:val="6753255C"/>
    <w:rsid w:val="678F7868"/>
    <w:rsid w:val="686F59C5"/>
    <w:rsid w:val="68985C4A"/>
    <w:rsid w:val="68BB275A"/>
    <w:rsid w:val="695E0A51"/>
    <w:rsid w:val="6AE713EB"/>
    <w:rsid w:val="6B015D37"/>
    <w:rsid w:val="6B827FD4"/>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662ED"/>
    <w:rsid w:val="713C5670"/>
    <w:rsid w:val="719201E7"/>
    <w:rsid w:val="71F96DCA"/>
    <w:rsid w:val="72107C5B"/>
    <w:rsid w:val="732D2693"/>
    <w:rsid w:val="73476175"/>
    <w:rsid w:val="7357254E"/>
    <w:rsid w:val="73611393"/>
    <w:rsid w:val="736A2461"/>
    <w:rsid w:val="7431112D"/>
    <w:rsid w:val="749D6575"/>
    <w:rsid w:val="754F1E1A"/>
    <w:rsid w:val="761859F6"/>
    <w:rsid w:val="76206BC5"/>
    <w:rsid w:val="76EB3FE1"/>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5B0A66"/>
    <w:rsid w:val="7A6263B1"/>
    <w:rsid w:val="7A757773"/>
    <w:rsid w:val="7ADF17B7"/>
    <w:rsid w:val="7AEB0EA5"/>
    <w:rsid w:val="7AF9718A"/>
    <w:rsid w:val="7B1A53E3"/>
    <w:rsid w:val="7B386B42"/>
    <w:rsid w:val="7B5C145D"/>
    <w:rsid w:val="7BB57665"/>
    <w:rsid w:val="7BBC102F"/>
    <w:rsid w:val="7BD509C2"/>
    <w:rsid w:val="7BDC0741"/>
    <w:rsid w:val="7C070CDC"/>
    <w:rsid w:val="7C9625E2"/>
    <w:rsid w:val="7CCA4B4C"/>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2021-10-13T00:25:15Z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