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高炉用直吹管、弯头和膨胀节捣制加工</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rPr>
        <w:t>月</w:t>
      </w:r>
      <w:r>
        <w:rPr>
          <w:rFonts w:hint="eastAsia"/>
          <w:color w:val="000000"/>
          <w:sz w:val="24"/>
          <w:szCs w:val="24"/>
          <w:u w:val="single"/>
          <w:lang w:val="en-US" w:eastAsia="zh-CN"/>
        </w:rPr>
        <w:t>18</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TQSC</w:t>
      </w:r>
      <w:r>
        <w:rPr>
          <w:rFonts w:hint="eastAsia" w:ascii="宋体" w:hAnsi="宋体"/>
          <w:u w:val="single"/>
          <w:lang w:val="en-US" w:eastAsia="zh-CN"/>
        </w:rPr>
        <w:t>20210100009ZCGWTPZJDZJG</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高炉用直吹管、弯头和膨胀节捣制加工</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招</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标</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办：       石  </w:t>
      </w:r>
      <w:r>
        <w:rPr>
          <w:rFonts w:hint="eastAsia" w:ascii="宋体" w:hAnsi="宋体" w:cs="Times New Roman"/>
          <w:kern w:val="2"/>
          <w:sz w:val="24"/>
          <w:szCs w:val="24"/>
          <w:highlight w:val="none"/>
          <w:lang w:val="en-US" w:eastAsia="zh-CN" w:bidi="ar-SA"/>
        </w:rPr>
        <w:t>工</w:t>
      </w:r>
      <w:r>
        <w:rPr>
          <w:rFonts w:hint="eastAsia" w:ascii="宋体" w:hAnsi="宋体" w:eastAsia="宋体" w:cs="Times New Roman"/>
          <w:kern w:val="2"/>
          <w:sz w:val="24"/>
          <w:szCs w:val="24"/>
          <w:highlight w:val="none"/>
          <w:lang w:val="en-US" w:eastAsia="zh-CN" w:bidi="ar-SA"/>
        </w:rPr>
        <w:t>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物资采购部：       柯  工    13955388390</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铁  前</w:t>
      </w:r>
      <w:r>
        <w:rPr>
          <w:rFonts w:hint="eastAsia" w:ascii="宋体" w:hAnsi="宋体" w:eastAsia="宋体" w:cs="Times New Roman"/>
          <w:kern w:val="2"/>
          <w:sz w:val="24"/>
          <w:szCs w:val="24"/>
          <w:highlight w:val="none"/>
          <w:lang w:val="en-US" w:eastAsia="zh-CN" w:bidi="ar-SA"/>
        </w:rPr>
        <w:t xml:space="preserve">  部：       王  工    </w:t>
      </w:r>
      <w:r>
        <w:rPr>
          <w:rFonts w:hint="eastAsia" w:ascii="宋体" w:hAnsi="宋体" w:cs="Times New Roman"/>
          <w:kern w:val="2"/>
          <w:sz w:val="24"/>
          <w:szCs w:val="24"/>
          <w:highlight w:val="none"/>
          <w:lang w:val="en-US" w:eastAsia="zh-CN" w:bidi="ar-SA"/>
        </w:rPr>
        <w:t>18010795583</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10</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25</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10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28</w:t>
      </w:r>
      <w:r>
        <w:rPr>
          <w:rFonts w:hint="eastAsia" w:ascii="宋体" w:hAnsi="宋体"/>
          <w:sz w:val="24"/>
          <w:szCs w:val="24"/>
          <w:u w:val="single"/>
          <w:lang w:val="en-US" w:eastAsia="zh-CN"/>
        </w:rPr>
        <w:t>日</w:t>
      </w:r>
      <w:r>
        <w:rPr>
          <w:rFonts w:hint="eastAsia"/>
          <w:color w:val="2A2A2A"/>
          <w:sz w:val="24"/>
          <w:szCs w:val="24"/>
          <w:shd w:val="clear" w:color="auto" w:fill="FFFFFF"/>
          <w:lang w:val="en-US" w:eastAsia="zh-CN"/>
        </w:rPr>
        <w:t>上</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10</w:t>
      </w:r>
      <w:r>
        <w:rPr>
          <w:rFonts w:hint="eastAsia" w:ascii="宋体" w:hAnsi="宋体"/>
          <w:bCs/>
          <w:color w:val="7030A0"/>
          <w:sz w:val="24"/>
          <w:szCs w:val="24"/>
        </w:rPr>
        <w:t>月</w:t>
      </w:r>
      <w:r>
        <w:rPr>
          <w:rFonts w:hint="eastAsia" w:ascii="宋体" w:hAnsi="宋体"/>
          <w:bCs/>
          <w:color w:val="7030A0"/>
          <w:sz w:val="24"/>
          <w:szCs w:val="24"/>
          <w:lang w:val="en-US" w:eastAsia="zh-CN"/>
        </w:rPr>
        <w:t>25</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6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芜湖新兴2座1280M3高炉用直吹管、弯头和膨胀节捣制加工，计划量：直吹管180个/年、弯头180个/年和膨胀节80个/年。</w:t>
      </w:r>
    </w:p>
    <w:p>
      <w:pPr>
        <w:numPr>
          <w:ilvl w:val="0"/>
          <w:numId w:val="8"/>
        </w:numPr>
        <w:spacing w:line="360" w:lineRule="auto"/>
        <w:ind w:left="-6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高炉风温最高1230℃，富氧量12000m3/小时。满足炼铁技术协议要求。</w:t>
      </w:r>
    </w:p>
    <w:p>
      <w:pPr>
        <w:numPr>
          <w:ilvl w:val="0"/>
          <w:numId w:val="8"/>
        </w:numPr>
        <w:spacing w:line="360" w:lineRule="auto"/>
        <w:ind w:left="-6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提供2019年至今2份及以上1000 M3以上高炉直吹管、弯头、膨胀节供货合同业绩。</w:t>
      </w:r>
    </w:p>
    <w:p>
      <w:pPr>
        <w:numPr>
          <w:ilvl w:val="0"/>
          <w:numId w:val="8"/>
        </w:numPr>
        <w:spacing w:line="360" w:lineRule="auto"/>
        <w:ind w:left="-6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投标保证金缴纳2万元。</w:t>
      </w:r>
    </w:p>
    <w:p>
      <w:pPr>
        <w:numPr>
          <w:ilvl w:val="0"/>
          <w:numId w:val="8"/>
        </w:numPr>
        <w:spacing w:line="360" w:lineRule="auto"/>
        <w:ind w:left="-6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招标合同执行周期为一年。</w:t>
      </w:r>
    </w:p>
    <w:p>
      <w:pPr>
        <w:numPr>
          <w:ilvl w:val="0"/>
          <w:numId w:val="8"/>
        </w:numPr>
        <w:spacing w:line="360" w:lineRule="auto"/>
        <w:ind w:left="-62" w:leftChars="0" w:firstLine="482" w:firstLineChars="0"/>
        <w:rPr>
          <w:rFonts w:hint="eastAsia" w:ascii="宋体" w:hAnsi="宋体"/>
          <w:b/>
        </w:rPr>
      </w:pPr>
      <w:r>
        <w:rPr>
          <w:rFonts w:hint="eastAsia" w:ascii="宋体" w:hAnsi="宋体"/>
          <w:b/>
          <w:color w:val="FF0000"/>
          <w:sz w:val="24"/>
          <w:szCs w:val="24"/>
          <w:lang w:val="en-US" w:eastAsia="zh-CN"/>
        </w:rPr>
        <w:t>评标方式：评标价格= (按直吹管报价*180+弯头报价*180+膨胀节报价*80)/(180+180+80）。</w:t>
      </w:r>
    </w:p>
    <w:p>
      <w:pPr>
        <w:pStyle w:val="2"/>
        <w:rPr>
          <w:rFonts w:hint="eastAsia" w:ascii="宋体" w:hAnsi="宋体"/>
          <w:b/>
          <w:color w:val="FF0000"/>
          <w:sz w:val="24"/>
          <w:szCs w:val="24"/>
        </w:rPr>
      </w:pPr>
    </w:p>
    <w:p>
      <w:pPr>
        <w:rPr>
          <w:rFonts w:hint="eastAsia" w:ascii="宋体" w:hAnsi="宋体"/>
          <w:b/>
          <w:color w:val="FF0000"/>
          <w:sz w:val="24"/>
          <w:szCs w:val="24"/>
        </w:rPr>
      </w:pPr>
    </w:p>
    <w:p>
      <w:pPr>
        <w:pStyle w:val="2"/>
        <w:rPr>
          <w:rFonts w:hint="eastAsia" w:ascii="宋体" w:hAnsi="宋体"/>
          <w:b/>
          <w:color w:val="FF0000"/>
          <w:sz w:val="24"/>
          <w:szCs w:val="24"/>
        </w:rPr>
      </w:pPr>
    </w:p>
    <w:p>
      <w:pPr>
        <w:rPr>
          <w:rFonts w:hint="eastAsia" w:ascii="宋体" w:hAnsi="宋体"/>
          <w:b/>
          <w:color w:val="FF0000"/>
          <w:sz w:val="24"/>
          <w:szCs w:val="24"/>
        </w:rPr>
      </w:pPr>
    </w:p>
    <w:p>
      <w:pPr>
        <w:pStyle w:val="2"/>
        <w:rPr>
          <w:rFonts w:hint="eastAsia"/>
        </w:rPr>
      </w:pPr>
    </w:p>
    <w:p>
      <w:pPr>
        <w:pStyle w:val="2"/>
        <w:rPr>
          <w:rFonts w:hint="eastAsia"/>
        </w:rPr>
      </w:pPr>
    </w:p>
    <w:p>
      <w:pPr>
        <w:rPr>
          <w:rFonts w:hint="eastAsia" w:ascii="宋体" w:hAnsi="宋体"/>
          <w:b/>
          <w:color w:val="FF0000"/>
          <w:sz w:val="24"/>
          <w:szCs w:val="24"/>
        </w:rPr>
      </w:pPr>
    </w:p>
    <w:p>
      <w:pPr>
        <w:jc w:val="both"/>
        <w:rPr>
          <w:b/>
          <w:sz w:val="24"/>
          <w:szCs w:val="24"/>
        </w:rPr>
      </w:pPr>
    </w:p>
    <w:p>
      <w:pPr>
        <w:pStyle w:val="2"/>
        <w:rPr>
          <w:b/>
          <w:sz w:val="24"/>
          <w:szCs w:val="24"/>
        </w:rPr>
      </w:pPr>
    </w:p>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pStyle w:val="2"/>
        <w:rPr>
          <w:b/>
          <w:sz w:val="24"/>
          <w:szCs w:val="24"/>
        </w:rPr>
      </w:pPr>
    </w:p>
    <w:p>
      <w:pPr>
        <w:rPr>
          <w:b/>
          <w:sz w:val="24"/>
          <w:szCs w:val="24"/>
        </w:rPr>
      </w:pPr>
    </w:p>
    <w:p>
      <w:pPr>
        <w:pStyle w:val="2"/>
      </w:pPr>
    </w:p>
    <w:p>
      <w:pPr>
        <w:jc w:val="right"/>
        <w:rPr>
          <w:b/>
          <w:sz w:val="24"/>
          <w:szCs w:val="24"/>
        </w:rPr>
      </w:pPr>
      <w:r>
        <w:rPr>
          <w:rFonts w:hint="eastAsia"/>
          <w:b/>
          <w:sz w:val="24"/>
          <w:szCs w:val="24"/>
        </w:rPr>
        <w:t>芜湖新兴铸管有限责任公司</w:t>
      </w:r>
    </w:p>
    <w:p>
      <w:pPr>
        <w:widowControl w:val="0"/>
        <w:spacing w:line="240" w:lineRule="atLeast"/>
        <w:jc w:val="both"/>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18</w:t>
      </w:r>
      <w:r>
        <w:rPr>
          <w:rFonts w:hint="eastAsia" w:ascii="宋体" w:hAnsi="宋体"/>
          <w:sz w:val="24"/>
          <w:szCs w:val="24"/>
        </w:rPr>
        <w:t>日</w:t>
      </w:r>
    </w:p>
    <w:p>
      <w:pPr>
        <w:jc w:val="center"/>
        <w:rPr>
          <w:rFonts w:hint="eastAsia"/>
          <w:b/>
          <w:bCs/>
          <w:sz w:val="32"/>
          <w:szCs w:val="32"/>
        </w:rPr>
      </w:pPr>
      <w:r>
        <w:rPr>
          <w:rFonts w:hint="eastAsia"/>
          <w:b/>
          <w:bCs/>
          <w:sz w:val="32"/>
          <w:szCs w:val="32"/>
        </w:rPr>
        <w:t>高炉用直吹管、弯头和膨胀节捣制加工技术协议</w:t>
      </w:r>
    </w:p>
    <w:p>
      <w:pPr>
        <w:pStyle w:val="2"/>
        <w:rPr>
          <w:rFonts w:hint="eastAsia"/>
        </w:rPr>
      </w:pPr>
    </w:p>
    <w:p>
      <w:pPr>
        <w:spacing w:line="360" w:lineRule="auto"/>
        <w:ind w:firstLine="600" w:firstLineChars="250"/>
        <w:rPr>
          <w:rFonts w:hint="eastAsia"/>
          <w:sz w:val="24"/>
          <w:szCs w:val="24"/>
        </w:rPr>
      </w:pPr>
      <w:r>
        <w:rPr>
          <w:rFonts w:hint="eastAsia"/>
          <w:sz w:val="24"/>
          <w:szCs w:val="24"/>
        </w:rPr>
        <w:t>芜湖新兴铸管有限责任公司炼铁部1280M</w:t>
      </w:r>
      <w:r>
        <w:rPr>
          <w:rFonts w:hint="eastAsia"/>
          <w:sz w:val="24"/>
          <w:szCs w:val="24"/>
          <w:vertAlign w:val="superscript"/>
        </w:rPr>
        <w:t>3</w:t>
      </w:r>
      <w:r>
        <w:rPr>
          <w:rFonts w:hint="eastAsia"/>
          <w:sz w:val="24"/>
          <w:szCs w:val="24"/>
        </w:rPr>
        <w:t>高炉用直吹管、弯头和膨胀节捣制技术协议：</w:t>
      </w:r>
    </w:p>
    <w:p>
      <w:pPr>
        <w:numPr>
          <w:ilvl w:val="0"/>
          <w:numId w:val="9"/>
        </w:numPr>
        <w:spacing w:line="360" w:lineRule="auto"/>
        <w:rPr>
          <w:rFonts w:hint="eastAsia"/>
          <w:sz w:val="24"/>
          <w:szCs w:val="24"/>
        </w:rPr>
      </w:pPr>
      <w:r>
        <w:rPr>
          <w:rFonts w:hint="eastAsia"/>
          <w:sz w:val="24"/>
          <w:szCs w:val="24"/>
        </w:rPr>
        <w:t>工作目标：</w:t>
      </w:r>
    </w:p>
    <w:p>
      <w:pPr>
        <w:spacing w:line="360" w:lineRule="auto"/>
        <w:ind w:left="699" w:leftChars="333" w:firstLine="360" w:firstLineChars="150"/>
        <w:rPr>
          <w:rFonts w:hint="eastAsia"/>
          <w:sz w:val="24"/>
          <w:szCs w:val="24"/>
        </w:rPr>
      </w:pPr>
      <w:r>
        <w:rPr>
          <w:rFonts w:hint="eastAsia"/>
          <w:sz w:val="24"/>
          <w:szCs w:val="24"/>
        </w:rPr>
        <w:t>对1280M</w:t>
      </w:r>
      <w:r>
        <w:rPr>
          <w:rFonts w:hint="eastAsia"/>
          <w:sz w:val="24"/>
          <w:szCs w:val="24"/>
          <w:vertAlign w:val="superscript"/>
        </w:rPr>
        <w:t>3</w:t>
      </w:r>
      <w:r>
        <w:rPr>
          <w:rFonts w:hint="eastAsia"/>
          <w:sz w:val="24"/>
          <w:szCs w:val="24"/>
        </w:rPr>
        <w:t>高炉使用的直吹管、弯头和膨胀节进行捣制，满足使用要求。最大捣制量：直吹管180个/年、弯头180个/年和膨胀节80个/年.结算按实际件数。如遇到特殊情况超最大捣制量，应标方必须按照招标价格满足发标方要求制作。</w:t>
      </w:r>
      <w:r>
        <w:rPr>
          <w:sz w:val="24"/>
          <w:szCs w:val="24"/>
        </w:rPr>
        <w:br w:type="textWrapping"/>
      </w:r>
      <w:r>
        <w:rPr>
          <w:rFonts w:hint="eastAsia"/>
          <w:sz w:val="24"/>
          <w:szCs w:val="24"/>
        </w:rPr>
        <w:t>二、工作方法：</w:t>
      </w:r>
    </w:p>
    <w:p>
      <w:pPr>
        <w:spacing w:line="360" w:lineRule="auto"/>
        <w:ind w:left="700" w:firstLine="570"/>
        <w:rPr>
          <w:rFonts w:hint="eastAsia"/>
          <w:sz w:val="24"/>
          <w:szCs w:val="24"/>
        </w:rPr>
      </w:pPr>
      <w:r>
        <w:rPr>
          <w:rFonts w:hint="eastAsia"/>
          <w:sz w:val="24"/>
          <w:szCs w:val="24"/>
        </w:rPr>
        <w:t>1280M</w:t>
      </w:r>
      <w:r>
        <w:rPr>
          <w:rFonts w:hint="eastAsia"/>
          <w:sz w:val="24"/>
          <w:szCs w:val="24"/>
          <w:vertAlign w:val="superscript"/>
        </w:rPr>
        <w:t>3</w:t>
      </w:r>
      <w:r>
        <w:rPr>
          <w:rFonts w:hint="eastAsia"/>
          <w:sz w:val="24"/>
          <w:szCs w:val="24"/>
        </w:rPr>
        <w:t>高炉使用的直吹管、弯头和膨胀节再次使用前需要加工厂家倒运出厂进行耐材填充捣制，捣制后，满足高炉使用条件，倒运进厂待用。</w:t>
      </w:r>
    </w:p>
    <w:p>
      <w:pPr>
        <w:spacing w:line="360" w:lineRule="auto"/>
        <w:rPr>
          <w:rFonts w:hint="eastAsia"/>
          <w:sz w:val="24"/>
          <w:szCs w:val="24"/>
        </w:rPr>
      </w:pPr>
      <w:r>
        <w:rPr>
          <w:rFonts w:hint="eastAsia"/>
          <w:sz w:val="24"/>
          <w:szCs w:val="24"/>
        </w:rPr>
        <w:t xml:space="preserve">     三、具体工作内容</w:t>
      </w:r>
    </w:p>
    <w:p>
      <w:pPr>
        <w:numPr>
          <w:ilvl w:val="0"/>
          <w:numId w:val="10"/>
        </w:numPr>
        <w:spacing w:line="360" w:lineRule="auto"/>
        <w:ind w:left="1560" w:leftChars="0" w:firstLineChars="0"/>
        <w:rPr>
          <w:rFonts w:hint="eastAsia"/>
          <w:sz w:val="24"/>
          <w:szCs w:val="24"/>
        </w:rPr>
      </w:pPr>
      <w:r>
        <w:rPr>
          <w:sz w:val="24"/>
          <w:szCs w:val="24"/>
        </w:rPr>
        <w:t>高炉直吹管、弯头寿命确保</w:t>
      </w:r>
      <w:r>
        <w:rPr>
          <w:rFonts w:hint="eastAsia"/>
          <w:sz w:val="24"/>
          <w:szCs w:val="24"/>
        </w:rPr>
        <w:t>12</w:t>
      </w:r>
      <w:r>
        <w:rPr>
          <w:sz w:val="24"/>
          <w:szCs w:val="24"/>
        </w:rPr>
        <w:t>个月，膨胀节确保</w:t>
      </w:r>
      <w:r>
        <w:rPr>
          <w:rFonts w:hint="eastAsia"/>
          <w:sz w:val="24"/>
          <w:szCs w:val="24"/>
        </w:rPr>
        <w:t>12</w:t>
      </w:r>
      <w:r>
        <w:rPr>
          <w:sz w:val="24"/>
          <w:szCs w:val="24"/>
        </w:rPr>
        <w:t>个月，不发生烧穿事故和大面积烧红现象；因材料原因没有达到使用寿命，当批货物不予结算，如造成较大损失，由炼铁部测算损失直接在货款中扣除。</w:t>
      </w:r>
    </w:p>
    <w:p>
      <w:pPr>
        <w:numPr>
          <w:ilvl w:val="0"/>
          <w:numId w:val="10"/>
        </w:numPr>
        <w:spacing w:line="360" w:lineRule="auto"/>
        <w:ind w:left="1560" w:leftChars="0" w:firstLineChars="0"/>
        <w:rPr>
          <w:rFonts w:hint="eastAsia"/>
          <w:sz w:val="24"/>
          <w:szCs w:val="24"/>
        </w:rPr>
      </w:pPr>
      <w:r>
        <w:rPr>
          <w:sz w:val="24"/>
          <w:szCs w:val="24"/>
        </w:rPr>
        <w:t>内径尺寸符合要求</w:t>
      </w:r>
      <w:r>
        <w:rPr>
          <w:rFonts w:hint="eastAsia"/>
          <w:sz w:val="24"/>
          <w:szCs w:val="24"/>
        </w:rPr>
        <w:t>（发标方提供图纸）</w:t>
      </w:r>
      <w:r>
        <w:rPr>
          <w:sz w:val="24"/>
          <w:szCs w:val="24"/>
        </w:rPr>
        <w:t>，煤枪好插</w:t>
      </w:r>
      <w:r>
        <w:rPr>
          <w:rFonts w:hint="eastAsia"/>
          <w:sz w:val="24"/>
          <w:szCs w:val="24"/>
        </w:rPr>
        <w:t>好拔</w:t>
      </w:r>
      <w:r>
        <w:rPr>
          <w:sz w:val="24"/>
          <w:szCs w:val="24"/>
        </w:rPr>
        <w:t>，端面光洁度能保证正常安装需要。</w:t>
      </w:r>
      <w:r>
        <w:rPr>
          <w:rFonts w:hint="eastAsia"/>
          <w:sz w:val="24"/>
          <w:szCs w:val="24"/>
        </w:rPr>
        <w:t>不符合要求不予结算，重新制作。如果影响发标方生产，按照合同价加倍考核。</w:t>
      </w:r>
    </w:p>
    <w:p>
      <w:pPr>
        <w:numPr>
          <w:ilvl w:val="0"/>
          <w:numId w:val="10"/>
        </w:numPr>
        <w:spacing w:line="360" w:lineRule="auto"/>
        <w:ind w:left="1560" w:leftChars="0" w:firstLineChars="0"/>
        <w:rPr>
          <w:rFonts w:hint="eastAsia"/>
          <w:sz w:val="24"/>
          <w:szCs w:val="24"/>
        </w:rPr>
      </w:pPr>
      <w:r>
        <w:rPr>
          <w:sz w:val="24"/>
          <w:szCs w:val="24"/>
        </w:rPr>
        <w:t>正常</w:t>
      </w:r>
      <w:r>
        <w:rPr>
          <w:rFonts w:hint="eastAsia"/>
          <w:sz w:val="24"/>
          <w:szCs w:val="24"/>
        </w:rPr>
        <w:t>捣</w:t>
      </w:r>
      <w:r>
        <w:rPr>
          <w:sz w:val="24"/>
          <w:szCs w:val="24"/>
        </w:rPr>
        <w:t>制，每次从拉走到送回，时间不超过20天</w:t>
      </w:r>
      <w:r>
        <w:rPr>
          <w:rFonts w:hint="eastAsia"/>
          <w:sz w:val="24"/>
          <w:szCs w:val="24"/>
        </w:rPr>
        <w:t>。</w:t>
      </w:r>
    </w:p>
    <w:p>
      <w:pPr>
        <w:numPr>
          <w:ilvl w:val="0"/>
          <w:numId w:val="10"/>
        </w:numPr>
        <w:spacing w:line="360" w:lineRule="auto"/>
        <w:ind w:left="1560" w:leftChars="0" w:firstLineChars="0"/>
        <w:rPr>
          <w:rFonts w:hint="eastAsia"/>
          <w:sz w:val="24"/>
          <w:szCs w:val="24"/>
        </w:rPr>
      </w:pPr>
      <w:r>
        <w:rPr>
          <w:rFonts w:hint="eastAsia"/>
          <w:sz w:val="24"/>
          <w:szCs w:val="24"/>
        </w:rPr>
        <w:t>如果该批次有单个或多个</w:t>
      </w:r>
      <w:r>
        <w:rPr>
          <w:sz w:val="24"/>
          <w:szCs w:val="24"/>
        </w:rPr>
        <w:t>发生大面积烧红</w:t>
      </w:r>
      <w:r>
        <w:rPr>
          <w:rFonts w:hint="eastAsia"/>
          <w:sz w:val="24"/>
          <w:szCs w:val="24"/>
        </w:rPr>
        <w:t>现象</w:t>
      </w:r>
      <w:r>
        <w:rPr>
          <w:sz w:val="24"/>
          <w:szCs w:val="24"/>
        </w:rPr>
        <w:t>，扣除该</w:t>
      </w:r>
      <w:r>
        <w:rPr>
          <w:rFonts w:hint="eastAsia"/>
          <w:sz w:val="24"/>
          <w:szCs w:val="24"/>
        </w:rPr>
        <w:t>批次</w:t>
      </w:r>
      <w:r>
        <w:rPr>
          <w:sz w:val="24"/>
          <w:szCs w:val="24"/>
        </w:rPr>
        <w:t>的</w:t>
      </w:r>
      <w:r>
        <w:rPr>
          <w:rFonts w:hint="eastAsia"/>
          <w:sz w:val="24"/>
          <w:szCs w:val="24"/>
        </w:rPr>
        <w:t>制作费</w:t>
      </w:r>
      <w:r>
        <w:rPr>
          <w:sz w:val="24"/>
          <w:szCs w:val="24"/>
        </w:rPr>
        <w:t>，</w:t>
      </w:r>
      <w:r>
        <w:rPr>
          <w:rFonts w:hint="eastAsia"/>
          <w:sz w:val="24"/>
          <w:szCs w:val="24"/>
        </w:rPr>
        <w:t>造成事故的按照事故损失进行追加考核。</w:t>
      </w:r>
    </w:p>
    <w:p>
      <w:pPr>
        <w:numPr>
          <w:ilvl w:val="0"/>
          <w:numId w:val="10"/>
        </w:numPr>
        <w:spacing w:line="360" w:lineRule="auto"/>
        <w:ind w:left="1560" w:leftChars="0" w:firstLineChars="0"/>
        <w:rPr>
          <w:rFonts w:hint="eastAsia"/>
          <w:sz w:val="24"/>
          <w:szCs w:val="24"/>
        </w:rPr>
      </w:pPr>
      <w:r>
        <w:rPr>
          <w:sz w:val="24"/>
          <w:szCs w:val="24"/>
        </w:rPr>
        <w:t>发生吹管或弯头烧穿事故，直接取消供货资格，造成的损失由</w:t>
      </w:r>
      <w:r>
        <w:rPr>
          <w:rFonts w:hint="eastAsia"/>
          <w:sz w:val="24"/>
          <w:szCs w:val="24"/>
        </w:rPr>
        <w:t>应标方</w:t>
      </w:r>
      <w:r>
        <w:rPr>
          <w:sz w:val="24"/>
          <w:szCs w:val="24"/>
        </w:rPr>
        <w:t>承担。</w:t>
      </w:r>
    </w:p>
    <w:p>
      <w:pPr>
        <w:pStyle w:val="2"/>
        <w:rPr>
          <w:sz w:val="24"/>
          <w:szCs w:val="24"/>
        </w:rPr>
      </w:pPr>
    </w:p>
    <w:p>
      <w:pPr>
        <w:rPr>
          <w:sz w:val="24"/>
          <w:szCs w:val="24"/>
        </w:rPr>
      </w:pPr>
    </w:p>
    <w:p>
      <w:pPr>
        <w:pStyle w:val="2"/>
        <w:rPr>
          <w:sz w:val="24"/>
          <w:szCs w:val="24"/>
        </w:rPr>
      </w:pPr>
    </w:p>
    <w:p>
      <w:pPr>
        <w:rPr>
          <w:sz w:val="24"/>
          <w:szCs w:val="24"/>
        </w:rPr>
      </w:pPr>
    </w:p>
    <w:p>
      <w:pPr>
        <w:pStyle w:val="2"/>
        <w:rPr>
          <w:sz w:val="24"/>
          <w:szCs w:val="24"/>
        </w:rPr>
      </w:pPr>
    </w:p>
    <w:p>
      <w:pPr>
        <w:rPr>
          <w:sz w:val="24"/>
          <w:szCs w:val="24"/>
        </w:rPr>
      </w:pPr>
    </w:p>
    <w:p>
      <w:pPr>
        <w:pStyle w:val="2"/>
        <w:rPr>
          <w:sz w:val="24"/>
          <w:szCs w:val="24"/>
        </w:rPr>
      </w:pPr>
    </w:p>
    <w:p>
      <w:pPr>
        <w:rPr>
          <w:sz w:val="24"/>
          <w:szCs w:val="24"/>
        </w:rPr>
      </w:pPr>
    </w:p>
    <w:p>
      <w:pPr>
        <w:pStyle w:val="2"/>
      </w:pPr>
    </w:p>
    <w:p>
      <w:pPr>
        <w:rPr>
          <w:sz w:val="24"/>
          <w:szCs w:val="24"/>
        </w:rPr>
      </w:pPr>
    </w:p>
    <w:p>
      <w:pPr>
        <w:pStyle w:val="2"/>
        <w:rPr>
          <w:sz w:val="24"/>
          <w:szCs w:val="24"/>
        </w:rPr>
      </w:pPr>
    </w:p>
    <w:p>
      <w:pPr>
        <w:rPr>
          <w:sz w:val="24"/>
          <w:szCs w:val="24"/>
        </w:rPr>
      </w:pPr>
    </w:p>
    <w:p>
      <w:pPr>
        <w:pStyle w:val="2"/>
        <w:rPr>
          <w:sz w:val="24"/>
          <w:szCs w:val="24"/>
        </w:rPr>
      </w:pPr>
    </w:p>
    <w:p>
      <w:pPr>
        <w:rPr>
          <w:rFonts w:hint="eastAsia"/>
        </w:rPr>
      </w:pPr>
    </w:p>
    <w:p>
      <w:pPr>
        <w:widowControl w:val="0"/>
        <w:spacing w:line="240" w:lineRule="atLeast"/>
        <w:jc w:val="both"/>
        <w:rPr>
          <w:rFonts w:hint="eastAsia" w:asciiTheme="minorEastAsia" w:hAnsiTheme="minorEastAsia" w:eastAsiaTheme="minorEastAsia"/>
          <w:color w:val="000000"/>
          <w:sz w:val="28"/>
          <w:szCs w:val="28"/>
        </w:rPr>
      </w:pPr>
      <w:r>
        <w:rPr>
          <w:b/>
        </w:rPr>
        <mc:AlternateContent>
          <mc:Choice Requires="wps">
            <w:drawing>
              <wp:anchor distT="0" distB="0" distL="114300" distR="114300" simplePos="0" relativeHeight="251660288" behindDoc="0" locked="0" layoutInCell="1" allowOverlap="1">
                <wp:simplePos x="0" y="0"/>
                <wp:positionH relativeFrom="column">
                  <wp:posOffset>5678805</wp:posOffset>
                </wp:positionH>
                <wp:positionV relativeFrom="paragraph">
                  <wp:posOffset>195580</wp:posOffset>
                </wp:positionV>
                <wp:extent cx="1028700" cy="891540"/>
                <wp:effectExtent l="158115" t="205105" r="165735" b="217805"/>
                <wp:wrapNone/>
                <wp:docPr id="3" name="文本框 2"/>
                <wp:cNvGraphicFramePr/>
                <a:graphic xmlns:a="http://schemas.openxmlformats.org/drawingml/2006/main">
                  <a:graphicData uri="http://schemas.microsoft.com/office/word/2010/wordprocessingShape">
                    <wps:wsp>
                      <wps:cNvSpPr txBox="1"/>
                      <wps:spPr>
                        <a:xfrm rot="1920000">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447.15pt;margin-top:15.4pt;height:70.2pt;width:81pt;rotation:2097152f;z-index:251660288;mso-width-relative:page;mso-height-relative:page;" fillcolor="#FFFFFF" filled="t" stroked="f" coordsize="21600,21600" o:gfxdata="UEsDBAoAAAAAAIdO4kAAAAAAAAAAAAAAAAAEAAAAZHJzL1BLAwQUAAAACACHTuJAYg5VRtwAAAAL&#10;AQAADwAAAGRycy9kb3ducmV2LnhtbE2PzU7DMBCE70i8g7VIXBC105Y0hDg9VELigAQUDnBz420S&#10;6p/IdtLy9mxPcNvdGc1+U61P1rAJQ+y9k5DNBDB0jde9ayV8vD/eFsBiUk4r4x1K+MEI6/ryolKl&#10;9kf3htM2tYxCXCyVhC6loeQ8Nh1aFWd+QEfa3gerEq2h5TqoI4Vbw+dC5Nyq3tGHTg246bA5bEcr&#10;YbN8/ZrGp/2z+czty+FmDIX/Xkl5fZWJB2AJT+nPDGd8QoeamHZ+dDoyI6G4Xy7IKmEhqMLZIO5y&#10;uuxoWmVz4HXF/3eofwFQSwMEFAAAAAgAh07iQB+NGsPMAQAAhQMAAA4AAABkcnMvZTJvRG9jLnht&#10;bK1TzY7TMBC+I/EOlu80afnrRk1XgqpcECAtPIDrOIkl22ON3SZ9AXgDTly481x9jh073QK7lz1s&#10;DpZn5vPn+b5xVtejNeygMGhwNZ/PSs6Uk9Bo19X829ftiyVnIQrXCANO1fyoAr9eP3+2GnylFtCD&#10;aRQyInGhGnzN+xh9VRRB9sqKMAOvHBVbQCsihdgVDYqB2K0pFmX5phgAG48gVQiU3UxFfmbExxBC&#10;22qpNiD3Vrk4saIyIpKk0Gsf+Dp327ZKxs9tG1RkpuakNOaVLqH9Lq3FeiWqDoXvtTy3IB7Twj1N&#10;VmhHl16oNiIKtkf9gMpqiRCgjTMJtpiEZEdIxby8581NL7zKWsjq4C+mh6ejlZ8OX5DppuYvOXPC&#10;0sBPP3+cfv05/f7OFsmewYeKUDeecHF8ByM9mrt8oGRSPbZoGQK5O7+iGZdl9oLUMUKT1ceL1WqM&#10;TCaKcrF8Szgmqba8mr9+lWdRTFyJ02OIHxRYljY1RxplZhWHjyFSXwS9gyR4AKObrTYmB9jt3htk&#10;B0Fj3+YvtUxH/oMZl8AO0rGpnDJFUjwpS7s47sazDTtojuTC3qPu+iQ2kyYQTSfTn19SGv+/cSb9&#10;+/esb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iDlVG3AAAAAsBAAAPAAAAAAAAAAEAIAAAACIA&#10;AABkcnMvZG93bnJldi54bWxQSwECFAAUAAAACACHTuJAH40aw8wBAACFAwAADgAAAAAAAAABACAA&#10;AAArAQAAZHJzL2Uyb0RvYy54bWxQSwUGAAAAAAYABgBZAQAAaQUAAAAA&#10;">
                <v:fill on="t" focussize="0,0"/>
                <v:stroke on="f"/>
                <v:imagedata o:title=""/>
                <o:lock v:ext="edit" aspectratio="f"/>
                <v:textbox>
                  <w:txbxContent>
                    <w:p/>
                  </w:txbxContent>
                </v:textbox>
              </v:shape>
            </w:pict>
          </mc:Fallback>
        </mc:AlternateContent>
      </w:r>
    </w:p>
    <w:p>
      <w:pPr>
        <w:tabs>
          <w:tab w:val="left" w:pos="420"/>
          <w:tab w:val="left" w:pos="630"/>
        </w:tabs>
        <w:spacing w:line="300" w:lineRule="auto"/>
        <w:ind w:firstLine="140" w:firstLineChars="50"/>
        <w:jc w:val="both"/>
        <w:rPr>
          <w:rFonts w:hint="eastAsia" w:ascii="仿宋_GB2312" w:eastAsia="仿宋_GB2312"/>
          <w:b/>
          <w:sz w:val="28"/>
          <w:szCs w:val="28"/>
        </w:rPr>
      </w:pPr>
      <w:r>
        <w:rPr>
          <w:sz w:val="28"/>
          <w:szCs w:val="28"/>
        </w:rPr>
        <w:pict>
          <v:shape id="对象 5" o:spid="_x0000_s1027" o:spt="75" type="#_x0000_t75" style="position:absolute;left:0pt;margin-left:20.05pt;margin-top:-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420"/>
          <w:tab w:val="left" w:pos="630"/>
        </w:tabs>
        <w:spacing w:line="300" w:lineRule="auto"/>
        <w:ind w:firstLine="141" w:firstLineChars="50"/>
        <w:jc w:val="both"/>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1"/>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1"/>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1"/>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1"/>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1"/>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w:t>
      </w:r>
      <w:bookmarkStart w:id="0" w:name="_GoBack"/>
      <w:bookmarkEnd w:id="0"/>
      <w:r>
        <w:rPr>
          <w:spacing w:val="2"/>
          <w:w w:val="95"/>
          <w:sz w:val="24"/>
          <w:szCs w:val="24"/>
        </w:rPr>
        <w:t>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高炉用直吹管、弯头和膨胀节捣制加工</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rPr>
          <w:rFonts w:hint="eastAsia" w:ascii="宋体" w:hAnsi="宋体" w:cs="宋体"/>
          <w:b/>
          <w:bCs/>
          <w:color w:val="FF0000"/>
          <w:kern w:val="0"/>
          <w:sz w:val="24"/>
          <w:szCs w:val="24"/>
        </w:rPr>
      </w:pPr>
    </w:p>
    <w:p>
      <w:pPr>
        <w:pStyle w:val="2"/>
        <w:rPr>
          <w:rFonts w:hint="eastAsia"/>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color w:val="FF0000"/>
          <w:sz w:val="44"/>
          <w:szCs w:val="44"/>
        </w:rPr>
      </w:pPr>
      <w:r>
        <w:rPr>
          <w:rFonts w:hint="eastAsia" w:ascii="宋体" w:hAnsi="宋体"/>
          <w:b w:val="0"/>
          <w:bCs/>
          <w:color w:val="FF0000"/>
          <w:sz w:val="32"/>
          <w:szCs w:val="32"/>
          <w:u w:val="none"/>
          <w:lang w:val="en-US" w:eastAsia="zh-CN"/>
        </w:rPr>
        <w:t>高炉用直吹管、弯头和膨胀节捣制加工</w:t>
      </w:r>
      <w:r>
        <w:rPr>
          <w:rFonts w:hint="eastAsia" w:ascii="宋体" w:hAnsi="宋体"/>
          <w:b w:val="0"/>
          <w:bCs/>
          <w:color w:val="FF0000"/>
          <w:sz w:val="32"/>
          <w:szCs w:val="32"/>
          <w:u w:val="none"/>
          <w:lang w:val="en-US" w:eastAsia="zh-CN"/>
        </w:rPr>
        <w:t>报价统一格式</w:t>
      </w:r>
    </w:p>
    <w:tbl>
      <w:tblPr>
        <w:tblStyle w:val="10"/>
        <w:tblpPr w:leftFromText="180" w:rightFromText="180" w:vertAnchor="text" w:horzAnchor="page" w:tblpX="723" w:tblpY="356"/>
        <w:tblOverlap w:val="never"/>
        <w:tblW w:w="10438" w:type="dxa"/>
        <w:tblInd w:w="0" w:type="dxa"/>
        <w:shd w:val="clear" w:color="auto" w:fill="auto"/>
        <w:tblLayout w:type="autofit"/>
        <w:tblCellMar>
          <w:top w:w="0" w:type="dxa"/>
          <w:left w:w="0" w:type="dxa"/>
          <w:bottom w:w="0" w:type="dxa"/>
          <w:right w:w="0" w:type="dxa"/>
        </w:tblCellMar>
      </w:tblPr>
      <w:tblGrid>
        <w:gridCol w:w="1231"/>
        <w:gridCol w:w="2379"/>
        <w:gridCol w:w="4687"/>
        <w:gridCol w:w="1141"/>
        <w:gridCol w:w="1000"/>
      </w:tblGrid>
      <w:tr>
        <w:tblPrEx>
          <w:shd w:val="clear" w:color="auto" w:fill="auto"/>
          <w:tblCellMar>
            <w:top w:w="0" w:type="dxa"/>
            <w:left w:w="0" w:type="dxa"/>
            <w:bottom w:w="0" w:type="dxa"/>
            <w:right w:w="0" w:type="dxa"/>
          </w:tblCellMar>
        </w:tblPrEx>
        <w:trPr>
          <w:trHeight w:val="357" w:hRule="atLeast"/>
        </w:trPr>
        <w:tc>
          <w:tcPr>
            <w:tcW w:w="123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379"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物资名称</w:t>
            </w:r>
          </w:p>
        </w:tc>
        <w:tc>
          <w:tcPr>
            <w:tcW w:w="4687"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含税、含运费报价 （元/个）</w:t>
            </w:r>
          </w:p>
        </w:tc>
        <w:tc>
          <w:tcPr>
            <w:tcW w:w="1141"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税率</w:t>
            </w:r>
          </w:p>
        </w:tc>
        <w:tc>
          <w:tcPr>
            <w:tcW w:w="100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8"/>
                <w:szCs w:val="28"/>
                <w:u w:val="none"/>
              </w:rPr>
            </w:pPr>
            <w:r>
              <w:rPr>
                <w:rFonts w:hint="eastAsia" w:ascii="宋体" w:hAnsi="宋体" w:eastAsia="宋体" w:cs="宋体"/>
                <w:b/>
                <w:i w:val="0"/>
                <w:color w:val="FF0000"/>
                <w:kern w:val="0"/>
                <w:sz w:val="28"/>
                <w:szCs w:val="28"/>
                <w:u w:val="none"/>
                <w:lang w:val="en-US" w:eastAsia="zh-CN" w:bidi="ar"/>
              </w:rPr>
              <w:t>备注</w:t>
            </w:r>
          </w:p>
        </w:tc>
      </w:tr>
      <w:tr>
        <w:tblPrEx>
          <w:shd w:val="clear" w:color="auto" w:fill="auto"/>
          <w:tblCellMar>
            <w:top w:w="0" w:type="dxa"/>
            <w:left w:w="0" w:type="dxa"/>
            <w:bottom w:w="0" w:type="dxa"/>
            <w:right w:w="0" w:type="dxa"/>
          </w:tblCellMar>
        </w:tblPrEx>
        <w:trPr>
          <w:trHeight w:val="376" w:hRule="atLeast"/>
        </w:trPr>
        <w:tc>
          <w:tcPr>
            <w:tcW w:w="1231"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79"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87"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41"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320" w:hRule="atLeast"/>
        </w:trPr>
        <w:tc>
          <w:tcPr>
            <w:tcW w:w="123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8"/>
                <w:szCs w:val="28"/>
                <w:u w:val="none"/>
              </w:rPr>
            </w:pPr>
            <w:r>
              <w:rPr>
                <w:rFonts w:hint="eastAsia" w:ascii="宋体" w:hAnsi="宋体" w:cs="宋体"/>
                <w:b/>
                <w:i w:val="0"/>
                <w:color w:val="FF0000"/>
                <w:kern w:val="0"/>
                <w:sz w:val="28"/>
                <w:szCs w:val="28"/>
                <w:u w:val="none"/>
                <w:lang w:val="en-US" w:eastAsia="zh-CN" w:bidi="ar"/>
              </w:rPr>
              <w:t>直吹管</w:t>
            </w:r>
          </w:p>
        </w:tc>
        <w:tc>
          <w:tcPr>
            <w:tcW w:w="468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小写：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（元/</w:t>
            </w:r>
            <w:r>
              <w:rPr>
                <w:rFonts w:hint="eastAsia" w:ascii="宋体" w:hAnsi="宋体" w:cs="宋体"/>
                <w:i w:val="0"/>
                <w:color w:val="000000"/>
                <w:kern w:val="0"/>
                <w:sz w:val="24"/>
                <w:szCs w:val="24"/>
                <w:u w:val="none"/>
                <w:lang w:val="en-US" w:eastAsia="zh-CN" w:bidi="ar"/>
              </w:rPr>
              <w:t>个</w:t>
            </w:r>
            <w:r>
              <w:rPr>
                <w:rFonts w:hint="eastAsia" w:ascii="宋体" w:hAnsi="宋体" w:eastAsia="宋体" w:cs="宋体"/>
                <w:i w:val="0"/>
                <w:color w:val="000000"/>
                <w:kern w:val="0"/>
                <w:sz w:val="24"/>
                <w:szCs w:val="24"/>
                <w:u w:val="none"/>
                <w:lang w:val="en-US" w:eastAsia="zh-CN" w:bidi="ar"/>
              </w:rPr>
              <w:t>）</w:t>
            </w:r>
          </w:p>
        </w:tc>
        <w:tc>
          <w:tcPr>
            <w:tcW w:w="114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343" w:hRule="atLeast"/>
        </w:trPr>
        <w:tc>
          <w:tcPr>
            <w:tcW w:w="123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8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4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320" w:hRule="atLeast"/>
        </w:trPr>
        <w:tc>
          <w:tcPr>
            <w:tcW w:w="123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8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大写：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（元/</w:t>
            </w:r>
            <w:r>
              <w:rPr>
                <w:rFonts w:hint="eastAsia" w:ascii="宋体" w:hAnsi="宋体" w:cs="宋体"/>
                <w:i w:val="0"/>
                <w:color w:val="000000"/>
                <w:kern w:val="0"/>
                <w:sz w:val="24"/>
                <w:szCs w:val="24"/>
                <w:u w:val="none"/>
                <w:lang w:val="en-US" w:eastAsia="zh-CN" w:bidi="ar"/>
              </w:rPr>
              <w:t>个</w:t>
            </w:r>
            <w:r>
              <w:rPr>
                <w:rFonts w:hint="eastAsia" w:ascii="宋体" w:hAnsi="宋体" w:eastAsia="宋体" w:cs="宋体"/>
                <w:i w:val="0"/>
                <w:color w:val="000000"/>
                <w:kern w:val="0"/>
                <w:sz w:val="24"/>
                <w:szCs w:val="24"/>
                <w:u w:val="none"/>
                <w:lang w:val="en-US" w:eastAsia="zh-CN" w:bidi="ar"/>
              </w:rPr>
              <w:t>）</w:t>
            </w:r>
          </w:p>
        </w:tc>
        <w:tc>
          <w:tcPr>
            <w:tcW w:w="114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312" w:hRule="atLeast"/>
        </w:trPr>
        <w:tc>
          <w:tcPr>
            <w:tcW w:w="123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8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4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320" w:hRule="atLeast"/>
        </w:trPr>
        <w:tc>
          <w:tcPr>
            <w:tcW w:w="123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37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8"/>
                <w:szCs w:val="28"/>
                <w:u w:val="none"/>
              </w:rPr>
            </w:pPr>
            <w:r>
              <w:rPr>
                <w:rFonts w:hint="eastAsia" w:ascii="宋体" w:hAnsi="宋体" w:cs="宋体"/>
                <w:b/>
                <w:i w:val="0"/>
                <w:color w:val="FF0000"/>
                <w:kern w:val="0"/>
                <w:sz w:val="28"/>
                <w:szCs w:val="28"/>
                <w:u w:val="none"/>
                <w:lang w:val="en-US" w:eastAsia="zh-CN" w:bidi="ar"/>
              </w:rPr>
              <w:t>弯头</w:t>
            </w:r>
          </w:p>
        </w:tc>
        <w:tc>
          <w:tcPr>
            <w:tcW w:w="468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小写：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（元/</w:t>
            </w:r>
            <w:r>
              <w:rPr>
                <w:rFonts w:hint="eastAsia" w:ascii="宋体" w:hAnsi="宋体" w:cs="宋体"/>
                <w:i w:val="0"/>
                <w:color w:val="000000"/>
                <w:kern w:val="0"/>
                <w:sz w:val="24"/>
                <w:szCs w:val="24"/>
                <w:u w:val="none"/>
                <w:lang w:val="en-US" w:eastAsia="zh-CN" w:bidi="ar"/>
              </w:rPr>
              <w:t>个</w:t>
            </w:r>
            <w:r>
              <w:rPr>
                <w:rFonts w:hint="eastAsia" w:ascii="宋体" w:hAnsi="宋体" w:eastAsia="宋体" w:cs="宋体"/>
                <w:i w:val="0"/>
                <w:color w:val="000000"/>
                <w:kern w:val="0"/>
                <w:sz w:val="24"/>
                <w:szCs w:val="24"/>
                <w:u w:val="none"/>
                <w:lang w:val="en-US" w:eastAsia="zh-CN" w:bidi="ar"/>
              </w:rPr>
              <w:t>）</w:t>
            </w:r>
          </w:p>
        </w:tc>
        <w:tc>
          <w:tcPr>
            <w:tcW w:w="114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341" w:hRule="atLeast"/>
        </w:trPr>
        <w:tc>
          <w:tcPr>
            <w:tcW w:w="123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8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4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320" w:hRule="atLeast"/>
        </w:trPr>
        <w:tc>
          <w:tcPr>
            <w:tcW w:w="123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8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大写：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（元/</w:t>
            </w:r>
            <w:r>
              <w:rPr>
                <w:rFonts w:hint="eastAsia" w:ascii="宋体" w:hAnsi="宋体" w:cs="宋体"/>
                <w:i w:val="0"/>
                <w:color w:val="000000"/>
                <w:kern w:val="0"/>
                <w:sz w:val="24"/>
                <w:szCs w:val="24"/>
                <w:u w:val="none"/>
                <w:lang w:val="en-US" w:eastAsia="zh-CN" w:bidi="ar"/>
              </w:rPr>
              <w:t>个</w:t>
            </w:r>
            <w:r>
              <w:rPr>
                <w:rFonts w:hint="eastAsia" w:ascii="宋体" w:hAnsi="宋体" w:eastAsia="宋体" w:cs="宋体"/>
                <w:i w:val="0"/>
                <w:color w:val="000000"/>
                <w:kern w:val="0"/>
                <w:sz w:val="24"/>
                <w:szCs w:val="24"/>
                <w:u w:val="none"/>
                <w:lang w:val="en-US" w:eastAsia="zh-CN" w:bidi="ar"/>
              </w:rPr>
              <w:t>）</w:t>
            </w:r>
          </w:p>
        </w:tc>
        <w:tc>
          <w:tcPr>
            <w:tcW w:w="114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320" w:hRule="atLeast"/>
        </w:trPr>
        <w:tc>
          <w:tcPr>
            <w:tcW w:w="123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37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8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4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341" w:hRule="atLeast"/>
        </w:trPr>
        <w:tc>
          <w:tcPr>
            <w:tcW w:w="1231"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8"/>
                <w:szCs w:val="28"/>
                <w:u w:val="none"/>
                <w:lang w:val="en-US" w:eastAsia="zh-CN"/>
              </w:rPr>
            </w:pPr>
            <w:r>
              <w:rPr>
                <w:rFonts w:hint="eastAsia" w:ascii="宋体" w:hAnsi="宋体" w:cs="宋体"/>
                <w:i w:val="0"/>
                <w:color w:val="000000"/>
                <w:kern w:val="0"/>
                <w:sz w:val="24"/>
                <w:szCs w:val="24"/>
                <w:u w:val="none"/>
                <w:lang w:val="en-US" w:eastAsia="zh-CN" w:bidi="ar"/>
              </w:rPr>
              <w:t>3</w:t>
            </w:r>
          </w:p>
        </w:tc>
        <w:tc>
          <w:tcPr>
            <w:tcW w:w="2379"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8"/>
                <w:szCs w:val="28"/>
                <w:u w:val="none"/>
                <w:lang w:val="en-US" w:eastAsia="zh-CN"/>
              </w:rPr>
            </w:pPr>
            <w:r>
              <w:rPr>
                <w:rFonts w:hint="eastAsia" w:ascii="宋体" w:hAnsi="宋体" w:cs="宋体"/>
                <w:b/>
                <w:i w:val="0"/>
                <w:color w:val="FF0000"/>
                <w:sz w:val="28"/>
                <w:szCs w:val="28"/>
                <w:u w:val="none"/>
                <w:lang w:val="en-US" w:eastAsia="zh-CN"/>
              </w:rPr>
              <w:t>膨胀节</w:t>
            </w:r>
          </w:p>
        </w:tc>
        <w:tc>
          <w:tcPr>
            <w:tcW w:w="468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小写：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（元/</w:t>
            </w:r>
            <w:r>
              <w:rPr>
                <w:rFonts w:hint="eastAsia" w:ascii="宋体" w:hAnsi="宋体" w:cs="宋体"/>
                <w:i w:val="0"/>
                <w:color w:val="000000"/>
                <w:kern w:val="0"/>
                <w:sz w:val="24"/>
                <w:szCs w:val="24"/>
                <w:u w:val="none"/>
                <w:lang w:val="en-US" w:eastAsia="zh-CN" w:bidi="ar"/>
              </w:rPr>
              <w:t>个</w:t>
            </w:r>
            <w:r>
              <w:rPr>
                <w:rFonts w:hint="eastAsia" w:ascii="宋体" w:hAnsi="宋体" w:eastAsia="宋体" w:cs="宋体"/>
                <w:i w:val="0"/>
                <w:color w:val="000000"/>
                <w:kern w:val="0"/>
                <w:sz w:val="24"/>
                <w:szCs w:val="24"/>
                <w:u w:val="none"/>
                <w:lang w:val="en-US" w:eastAsia="zh-CN" w:bidi="ar"/>
              </w:rPr>
              <w:t>）</w:t>
            </w:r>
          </w:p>
        </w:tc>
        <w:tc>
          <w:tcPr>
            <w:tcW w:w="114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341" w:hRule="atLeast"/>
        </w:trPr>
        <w:tc>
          <w:tcPr>
            <w:tcW w:w="123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237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8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4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341" w:hRule="atLeast"/>
        </w:trPr>
        <w:tc>
          <w:tcPr>
            <w:tcW w:w="123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237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8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大写：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（元/</w:t>
            </w:r>
            <w:r>
              <w:rPr>
                <w:rFonts w:hint="eastAsia" w:ascii="宋体" w:hAnsi="宋体" w:cs="宋体"/>
                <w:i w:val="0"/>
                <w:color w:val="000000"/>
                <w:kern w:val="0"/>
                <w:sz w:val="24"/>
                <w:szCs w:val="24"/>
                <w:u w:val="none"/>
                <w:lang w:val="en-US" w:eastAsia="zh-CN" w:bidi="ar"/>
              </w:rPr>
              <w:t>个</w:t>
            </w:r>
            <w:r>
              <w:rPr>
                <w:rFonts w:hint="eastAsia" w:ascii="宋体" w:hAnsi="宋体" w:eastAsia="宋体" w:cs="宋体"/>
                <w:i w:val="0"/>
                <w:color w:val="000000"/>
                <w:kern w:val="0"/>
                <w:sz w:val="24"/>
                <w:szCs w:val="24"/>
                <w:u w:val="none"/>
                <w:lang w:val="en-US" w:eastAsia="zh-CN" w:bidi="ar"/>
              </w:rPr>
              <w:t>）</w:t>
            </w:r>
          </w:p>
        </w:tc>
        <w:tc>
          <w:tcPr>
            <w:tcW w:w="114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341" w:hRule="atLeast"/>
        </w:trPr>
        <w:tc>
          <w:tcPr>
            <w:tcW w:w="1231"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2379"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FF0000"/>
                <w:sz w:val="28"/>
                <w:szCs w:val="28"/>
                <w:u w:val="none"/>
              </w:rPr>
            </w:pPr>
          </w:p>
        </w:tc>
        <w:tc>
          <w:tcPr>
            <w:tcW w:w="468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4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b/>
                <w:i w:val="0"/>
                <w:color w:val="FF0000"/>
                <w:sz w:val="28"/>
                <w:szCs w:val="28"/>
                <w:u w:val="none"/>
              </w:rPr>
            </w:pPr>
          </w:p>
        </w:tc>
      </w:tr>
      <w:tr>
        <w:tblPrEx>
          <w:shd w:val="clear" w:color="auto" w:fill="auto"/>
          <w:tblCellMar>
            <w:top w:w="0" w:type="dxa"/>
            <w:left w:w="0" w:type="dxa"/>
            <w:bottom w:w="0" w:type="dxa"/>
            <w:right w:w="0" w:type="dxa"/>
          </w:tblCellMar>
        </w:tblPrEx>
        <w:trPr>
          <w:trHeight w:val="1142" w:hRule="atLeast"/>
        </w:trPr>
        <w:tc>
          <w:tcPr>
            <w:tcW w:w="10438"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r>
              <w:rPr>
                <w:rFonts w:hint="default" w:ascii="Times New Roman" w:hAnsi="Times New Roman" w:eastAsia="宋体" w:cs="Times New Roman"/>
                <w:i w:val="0"/>
                <w:color w:val="000000"/>
                <w:kern w:val="0"/>
                <w:sz w:val="28"/>
                <w:szCs w:val="28"/>
                <w:u w:val="none"/>
                <w:lang w:val="en-US" w:eastAsia="zh-CN" w:bidi="ar"/>
              </w:rPr>
              <w:t xml:space="preserve">: </w:t>
            </w:r>
            <w:r>
              <w:rPr>
                <w:rFonts w:hint="eastAsia" w:ascii="宋体" w:hAnsi="宋体" w:eastAsia="宋体" w:cs="宋体"/>
                <w:i w:val="0"/>
                <w:color w:val="000000"/>
                <w:kern w:val="0"/>
                <w:sz w:val="28"/>
                <w:szCs w:val="28"/>
                <w:u w:val="none"/>
                <w:lang w:val="en-US" w:eastAsia="zh-CN" w:bidi="ar"/>
              </w:rPr>
              <w:t>以上报价含税、含运费，一票制;</w:t>
            </w:r>
          </w:p>
        </w:tc>
      </w:tr>
      <w:tr>
        <w:tblPrEx>
          <w:shd w:val="clear" w:color="auto" w:fill="auto"/>
          <w:tblCellMar>
            <w:top w:w="0" w:type="dxa"/>
            <w:left w:w="0" w:type="dxa"/>
            <w:bottom w:w="0" w:type="dxa"/>
            <w:right w:w="0" w:type="dxa"/>
          </w:tblCellMar>
        </w:tblPrEx>
        <w:trPr>
          <w:trHeight w:val="972" w:hRule="atLeast"/>
        </w:trPr>
        <w:tc>
          <w:tcPr>
            <w:tcW w:w="10438"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投标单位名称：</w:t>
            </w:r>
          </w:p>
        </w:tc>
      </w:tr>
      <w:tr>
        <w:tblPrEx>
          <w:shd w:val="clear" w:color="auto" w:fill="auto"/>
          <w:tblCellMar>
            <w:top w:w="0" w:type="dxa"/>
            <w:left w:w="0" w:type="dxa"/>
            <w:bottom w:w="0" w:type="dxa"/>
            <w:right w:w="0" w:type="dxa"/>
          </w:tblCellMar>
        </w:tblPrEx>
        <w:trPr>
          <w:trHeight w:val="1040" w:hRule="atLeast"/>
        </w:trPr>
        <w:tc>
          <w:tcPr>
            <w:tcW w:w="10438"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投标单位公章及签字：</w:t>
            </w:r>
          </w:p>
        </w:tc>
      </w:tr>
      <w:tr>
        <w:tblPrEx>
          <w:shd w:val="clear" w:color="auto" w:fill="auto"/>
          <w:tblCellMar>
            <w:top w:w="0" w:type="dxa"/>
            <w:left w:w="0" w:type="dxa"/>
            <w:bottom w:w="0" w:type="dxa"/>
            <w:right w:w="0" w:type="dxa"/>
          </w:tblCellMar>
        </w:tblPrEx>
        <w:trPr>
          <w:trHeight w:val="1261" w:hRule="atLeast"/>
        </w:trPr>
        <w:tc>
          <w:tcPr>
            <w:tcW w:w="10438"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日期：</w:t>
            </w:r>
          </w:p>
        </w:tc>
      </w:tr>
    </w:tbl>
    <w:p>
      <w:pPr>
        <w:tabs>
          <w:tab w:val="left" w:pos="762"/>
        </w:tabs>
        <w:bidi w:val="0"/>
        <w:jc w:val="left"/>
        <w:rPr>
          <w:rFonts w:hint="default"/>
          <w:sz w:val="20"/>
          <w:szCs w:val="18"/>
          <w:lang w:val="en-US" w:eastAsia="zh-CN"/>
        </w:rPr>
      </w:pPr>
    </w:p>
    <w:p>
      <w:pPr>
        <w:bidi w:val="0"/>
        <w:rPr>
          <w:rFonts w:hint="default" w:ascii="Times New Roman" w:hAnsi="Times New Roman" w:eastAsia="宋体" w:cs="Times New Roman"/>
          <w:kern w:val="2"/>
          <w:sz w:val="21"/>
          <w:lang w:val="en-US" w:eastAsia="zh-CN" w:bidi="ar-SA"/>
        </w:rPr>
      </w:pPr>
    </w:p>
    <w:p>
      <w:pPr>
        <w:pStyle w:val="9"/>
        <w:widowControl/>
        <w:spacing w:line="240" w:lineRule="auto"/>
        <w:rPr>
          <w:rFonts w:hint="default"/>
          <w:lang w:val="en-US" w:eastAsia="zh-CN"/>
        </w:rPr>
      </w:pPr>
      <w:r>
        <w:rPr>
          <w:rFonts w:hint="eastAsia" w:ascii="宋体" w:hAnsi="宋体" w:eastAsia="宋体" w:cs="宋体"/>
          <w:i w:val="0"/>
          <w:color w:val="000000"/>
          <w:kern w:val="0"/>
          <w:sz w:val="28"/>
          <w:szCs w:val="28"/>
          <w:u w:val="none"/>
          <w:lang w:val="en-US" w:eastAsia="zh-CN" w:bidi="ar"/>
        </w:rPr>
        <w:t>注:</w:t>
      </w:r>
      <w:r>
        <w:rPr>
          <w:rFonts w:hint="eastAsia" w:ascii="宋体" w:hAnsi="宋体"/>
          <w:b/>
          <w:color w:val="FF0000"/>
          <w:sz w:val="24"/>
          <w:szCs w:val="24"/>
          <w:lang w:val="en-US" w:eastAsia="zh-CN"/>
        </w:rPr>
        <w:t>评标价格=（直吹管报价*180+弯头报价*180+膨胀节报价*80）/(180+180+80）</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D4819"/>
    <w:multiLevelType w:val="singleLevel"/>
    <w:tmpl w:val="AD9D4819"/>
    <w:lvl w:ilvl="0" w:tentative="0">
      <w:start w:val="1"/>
      <w:numFmt w:val="decimal"/>
      <w:suff w:val="nothing"/>
      <w:lvlText w:val="%1、"/>
      <w:lvlJc w:val="left"/>
      <w:pPr>
        <w:ind w:left="-62"/>
      </w:pPr>
      <w:rPr>
        <w:rFonts w:hint="default"/>
        <w:color w:val="FF0000"/>
      </w:r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4549D5"/>
    <w:multiLevelType w:val="multilevel"/>
    <w:tmpl w:val="5A4549D5"/>
    <w:lvl w:ilvl="0" w:tentative="0">
      <w:start w:val="1"/>
      <w:numFmt w:val="decimal"/>
      <w:lvlText w:val="%1、"/>
      <w:lvlJc w:val="left"/>
      <w:pPr>
        <w:tabs>
          <w:tab w:val="left" w:pos="900"/>
        </w:tabs>
        <w:ind w:left="1560" w:hanging="720"/>
      </w:pPr>
      <w:rPr>
        <w:rFonts w:hint="default"/>
      </w:rPr>
    </w:lvl>
    <w:lvl w:ilvl="1" w:tentative="0">
      <w:start w:val="1"/>
      <w:numFmt w:val="lowerLetter"/>
      <w:lvlText w:val="%2)"/>
      <w:lvlJc w:val="left"/>
      <w:pPr>
        <w:tabs>
          <w:tab w:val="left" w:pos="840"/>
        </w:tabs>
        <w:ind w:left="1500" w:hanging="420"/>
      </w:pPr>
    </w:lvl>
    <w:lvl w:ilvl="2" w:tentative="0">
      <w:start w:val="1"/>
      <w:numFmt w:val="lowerRoman"/>
      <w:lvlText w:val="%3."/>
      <w:lvlJc w:val="right"/>
      <w:pPr>
        <w:tabs>
          <w:tab w:val="left" w:pos="1260"/>
        </w:tabs>
        <w:ind w:left="1920" w:hanging="420"/>
      </w:pPr>
    </w:lvl>
    <w:lvl w:ilvl="3" w:tentative="0">
      <w:start w:val="1"/>
      <w:numFmt w:val="decimal"/>
      <w:lvlText w:val="%4."/>
      <w:lvlJc w:val="left"/>
      <w:pPr>
        <w:tabs>
          <w:tab w:val="left" w:pos="1680"/>
        </w:tabs>
        <w:ind w:left="2340" w:hanging="420"/>
      </w:pPr>
    </w:lvl>
    <w:lvl w:ilvl="4" w:tentative="0">
      <w:start w:val="1"/>
      <w:numFmt w:val="lowerLetter"/>
      <w:lvlText w:val="%5)"/>
      <w:lvlJc w:val="left"/>
      <w:pPr>
        <w:tabs>
          <w:tab w:val="left" w:pos="2100"/>
        </w:tabs>
        <w:ind w:left="2760" w:hanging="420"/>
      </w:pPr>
    </w:lvl>
    <w:lvl w:ilvl="5" w:tentative="0">
      <w:start w:val="1"/>
      <w:numFmt w:val="lowerRoman"/>
      <w:lvlText w:val="%6."/>
      <w:lvlJc w:val="right"/>
      <w:pPr>
        <w:tabs>
          <w:tab w:val="left" w:pos="2520"/>
        </w:tabs>
        <w:ind w:left="3180" w:hanging="420"/>
      </w:pPr>
    </w:lvl>
    <w:lvl w:ilvl="6" w:tentative="0">
      <w:start w:val="1"/>
      <w:numFmt w:val="decimal"/>
      <w:lvlText w:val="%7."/>
      <w:lvlJc w:val="left"/>
      <w:pPr>
        <w:tabs>
          <w:tab w:val="left" w:pos="2940"/>
        </w:tabs>
        <w:ind w:left="3600" w:hanging="420"/>
      </w:pPr>
    </w:lvl>
    <w:lvl w:ilvl="7" w:tentative="0">
      <w:start w:val="1"/>
      <w:numFmt w:val="lowerLetter"/>
      <w:lvlText w:val="%8)"/>
      <w:lvlJc w:val="left"/>
      <w:pPr>
        <w:tabs>
          <w:tab w:val="left" w:pos="3360"/>
        </w:tabs>
        <w:ind w:left="4020" w:hanging="420"/>
      </w:pPr>
    </w:lvl>
    <w:lvl w:ilvl="8" w:tentative="0">
      <w:start w:val="1"/>
      <w:numFmt w:val="lowerRoman"/>
      <w:lvlText w:val="%9."/>
      <w:lvlJc w:val="right"/>
      <w:pPr>
        <w:tabs>
          <w:tab w:val="left" w:pos="3780"/>
        </w:tabs>
        <w:ind w:left="4440" w:hanging="420"/>
      </w:pPr>
    </w:lvl>
  </w:abstractNum>
  <w:abstractNum w:abstractNumId="9">
    <w:nsid w:val="5AE2DA4B"/>
    <w:multiLevelType w:val="singleLevel"/>
    <w:tmpl w:val="5AE2DA4B"/>
    <w:lvl w:ilvl="0" w:tentative="0">
      <w:start w:val="14"/>
      <w:numFmt w:val="chineseCounting"/>
      <w:suff w:val="nothing"/>
      <w:lvlText w:val="%1、"/>
      <w:lvlJc w:val="left"/>
      <w:rPr>
        <w:rFonts w:hint="eastAsia"/>
      </w:rPr>
    </w:lvl>
  </w:abstractNum>
  <w:abstractNum w:abstractNumId="10">
    <w:nsid w:val="6FF010B4"/>
    <w:multiLevelType w:val="multilevel"/>
    <w:tmpl w:val="6FF010B4"/>
    <w:lvl w:ilvl="0" w:tentative="0">
      <w:start w:val="1"/>
      <w:numFmt w:val="japaneseCounting"/>
      <w:lvlText w:val="%1、"/>
      <w:lvlJc w:val="left"/>
      <w:pPr>
        <w:tabs>
          <w:tab w:val="left" w:pos="1420"/>
        </w:tabs>
        <w:ind w:left="1420" w:hanging="720"/>
      </w:pPr>
      <w:rPr>
        <w:rFonts w:hint="default"/>
      </w:rPr>
    </w:lvl>
    <w:lvl w:ilvl="1" w:tentative="0">
      <w:start w:val="1"/>
      <w:numFmt w:val="lowerLetter"/>
      <w:lvlText w:val="%2)"/>
      <w:lvlJc w:val="left"/>
      <w:pPr>
        <w:tabs>
          <w:tab w:val="left" w:pos="1540"/>
        </w:tabs>
        <w:ind w:left="1540" w:hanging="420"/>
      </w:pPr>
    </w:lvl>
    <w:lvl w:ilvl="2" w:tentative="0">
      <w:start w:val="1"/>
      <w:numFmt w:val="lowerRoman"/>
      <w:lvlText w:val="%3."/>
      <w:lvlJc w:val="right"/>
      <w:pPr>
        <w:tabs>
          <w:tab w:val="left" w:pos="1960"/>
        </w:tabs>
        <w:ind w:left="1960" w:hanging="420"/>
      </w:pPr>
    </w:lvl>
    <w:lvl w:ilvl="3" w:tentative="0">
      <w:start w:val="1"/>
      <w:numFmt w:val="decimal"/>
      <w:lvlText w:val="%4."/>
      <w:lvlJc w:val="left"/>
      <w:pPr>
        <w:tabs>
          <w:tab w:val="left" w:pos="2380"/>
        </w:tabs>
        <w:ind w:left="2380" w:hanging="420"/>
      </w:pPr>
    </w:lvl>
    <w:lvl w:ilvl="4" w:tentative="0">
      <w:start w:val="1"/>
      <w:numFmt w:val="lowerLetter"/>
      <w:lvlText w:val="%5)"/>
      <w:lvlJc w:val="left"/>
      <w:pPr>
        <w:tabs>
          <w:tab w:val="left" w:pos="2800"/>
        </w:tabs>
        <w:ind w:left="2800" w:hanging="420"/>
      </w:pPr>
    </w:lvl>
    <w:lvl w:ilvl="5" w:tentative="0">
      <w:start w:val="1"/>
      <w:numFmt w:val="lowerRoman"/>
      <w:lvlText w:val="%6."/>
      <w:lvlJc w:val="right"/>
      <w:pPr>
        <w:tabs>
          <w:tab w:val="left" w:pos="3220"/>
        </w:tabs>
        <w:ind w:left="3220" w:hanging="420"/>
      </w:pPr>
    </w:lvl>
    <w:lvl w:ilvl="6" w:tentative="0">
      <w:start w:val="1"/>
      <w:numFmt w:val="decimal"/>
      <w:lvlText w:val="%7."/>
      <w:lvlJc w:val="left"/>
      <w:pPr>
        <w:tabs>
          <w:tab w:val="left" w:pos="3640"/>
        </w:tabs>
        <w:ind w:left="3640" w:hanging="420"/>
      </w:pPr>
    </w:lvl>
    <w:lvl w:ilvl="7" w:tentative="0">
      <w:start w:val="1"/>
      <w:numFmt w:val="lowerLetter"/>
      <w:lvlText w:val="%8)"/>
      <w:lvlJc w:val="left"/>
      <w:pPr>
        <w:tabs>
          <w:tab w:val="left" w:pos="4060"/>
        </w:tabs>
        <w:ind w:left="4060" w:hanging="420"/>
      </w:pPr>
    </w:lvl>
    <w:lvl w:ilvl="8" w:tentative="0">
      <w:start w:val="1"/>
      <w:numFmt w:val="lowerRoman"/>
      <w:lvlText w:val="%9."/>
      <w:lvlJc w:val="right"/>
      <w:pPr>
        <w:tabs>
          <w:tab w:val="left" w:pos="4480"/>
        </w:tabs>
        <w:ind w:left="4480" w:hanging="420"/>
      </w:p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9"/>
  </w:num>
  <w:num w:numId="8">
    <w:abstractNumId w:val="0"/>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2F9403D"/>
    <w:rsid w:val="038D2F19"/>
    <w:rsid w:val="0399230F"/>
    <w:rsid w:val="043C4162"/>
    <w:rsid w:val="04823B21"/>
    <w:rsid w:val="04CE3E6C"/>
    <w:rsid w:val="050E6648"/>
    <w:rsid w:val="05324816"/>
    <w:rsid w:val="05325D34"/>
    <w:rsid w:val="05350A6F"/>
    <w:rsid w:val="053B5FB3"/>
    <w:rsid w:val="05C52E89"/>
    <w:rsid w:val="05DE4E53"/>
    <w:rsid w:val="06CB7169"/>
    <w:rsid w:val="07BA48CA"/>
    <w:rsid w:val="0831406E"/>
    <w:rsid w:val="083A4C2B"/>
    <w:rsid w:val="085B58B3"/>
    <w:rsid w:val="08A96692"/>
    <w:rsid w:val="090F2391"/>
    <w:rsid w:val="097B7AE5"/>
    <w:rsid w:val="0AF63A42"/>
    <w:rsid w:val="0B5E1A54"/>
    <w:rsid w:val="0BFF25BD"/>
    <w:rsid w:val="0CBC295F"/>
    <w:rsid w:val="0D2F279C"/>
    <w:rsid w:val="0DCC0A80"/>
    <w:rsid w:val="0DF07D84"/>
    <w:rsid w:val="0E497616"/>
    <w:rsid w:val="0E842CB1"/>
    <w:rsid w:val="0F0803D8"/>
    <w:rsid w:val="0F347211"/>
    <w:rsid w:val="10031B51"/>
    <w:rsid w:val="10094A89"/>
    <w:rsid w:val="10CA64E1"/>
    <w:rsid w:val="110928F7"/>
    <w:rsid w:val="11654D47"/>
    <w:rsid w:val="11BA6270"/>
    <w:rsid w:val="12623A3F"/>
    <w:rsid w:val="135C10D5"/>
    <w:rsid w:val="139F3DA1"/>
    <w:rsid w:val="13D576D7"/>
    <w:rsid w:val="13DA5ADF"/>
    <w:rsid w:val="14772C2B"/>
    <w:rsid w:val="14881933"/>
    <w:rsid w:val="14F3071A"/>
    <w:rsid w:val="154D48F1"/>
    <w:rsid w:val="158A4695"/>
    <w:rsid w:val="16541AFE"/>
    <w:rsid w:val="1694444C"/>
    <w:rsid w:val="16F544DC"/>
    <w:rsid w:val="17131114"/>
    <w:rsid w:val="1724223F"/>
    <w:rsid w:val="17F97F08"/>
    <w:rsid w:val="18560C92"/>
    <w:rsid w:val="18ED4DB4"/>
    <w:rsid w:val="190E09F1"/>
    <w:rsid w:val="19B16948"/>
    <w:rsid w:val="1A8A6D05"/>
    <w:rsid w:val="1AA53F86"/>
    <w:rsid w:val="1B5669A2"/>
    <w:rsid w:val="1B846959"/>
    <w:rsid w:val="1B912201"/>
    <w:rsid w:val="1BB65A49"/>
    <w:rsid w:val="1C430554"/>
    <w:rsid w:val="1CCB1E53"/>
    <w:rsid w:val="1D2E11E1"/>
    <w:rsid w:val="1E8C7D42"/>
    <w:rsid w:val="1E8E57E6"/>
    <w:rsid w:val="1E937D02"/>
    <w:rsid w:val="1F0727C6"/>
    <w:rsid w:val="1F0B69B1"/>
    <w:rsid w:val="1F107E3E"/>
    <w:rsid w:val="1F4242F7"/>
    <w:rsid w:val="1F802445"/>
    <w:rsid w:val="1FF51B5E"/>
    <w:rsid w:val="202B640C"/>
    <w:rsid w:val="205026F2"/>
    <w:rsid w:val="205B3F9B"/>
    <w:rsid w:val="20AF2F52"/>
    <w:rsid w:val="20E762BD"/>
    <w:rsid w:val="21133B37"/>
    <w:rsid w:val="21534F77"/>
    <w:rsid w:val="21A2160C"/>
    <w:rsid w:val="21E966E6"/>
    <w:rsid w:val="224B04E8"/>
    <w:rsid w:val="22B96773"/>
    <w:rsid w:val="22E00851"/>
    <w:rsid w:val="235C23EB"/>
    <w:rsid w:val="23CB766B"/>
    <w:rsid w:val="23CE57C2"/>
    <w:rsid w:val="23D22DCD"/>
    <w:rsid w:val="246A25A2"/>
    <w:rsid w:val="25206CD2"/>
    <w:rsid w:val="25230E4D"/>
    <w:rsid w:val="25466F1F"/>
    <w:rsid w:val="258E0AE8"/>
    <w:rsid w:val="25B129B0"/>
    <w:rsid w:val="268D7081"/>
    <w:rsid w:val="26F50CB1"/>
    <w:rsid w:val="26F906B4"/>
    <w:rsid w:val="278055FF"/>
    <w:rsid w:val="288D3DC5"/>
    <w:rsid w:val="28A22ADC"/>
    <w:rsid w:val="28B030F4"/>
    <w:rsid w:val="28E2171B"/>
    <w:rsid w:val="29401D6D"/>
    <w:rsid w:val="2BBB5AD5"/>
    <w:rsid w:val="2BF10F3E"/>
    <w:rsid w:val="2BF40243"/>
    <w:rsid w:val="2BFD06EE"/>
    <w:rsid w:val="2C204052"/>
    <w:rsid w:val="2C4E01C4"/>
    <w:rsid w:val="2CF31D5E"/>
    <w:rsid w:val="2E3D1B0F"/>
    <w:rsid w:val="2EA431DB"/>
    <w:rsid w:val="2EDD294B"/>
    <w:rsid w:val="2F163A70"/>
    <w:rsid w:val="302E15AB"/>
    <w:rsid w:val="3036622A"/>
    <w:rsid w:val="30474844"/>
    <w:rsid w:val="30CA3841"/>
    <w:rsid w:val="3130279D"/>
    <w:rsid w:val="313649C9"/>
    <w:rsid w:val="31DF7B93"/>
    <w:rsid w:val="324F62A8"/>
    <w:rsid w:val="32E00DA4"/>
    <w:rsid w:val="32F7522E"/>
    <w:rsid w:val="32FE462E"/>
    <w:rsid w:val="339D246B"/>
    <w:rsid w:val="342060A8"/>
    <w:rsid w:val="34BB556C"/>
    <w:rsid w:val="35212328"/>
    <w:rsid w:val="358603F2"/>
    <w:rsid w:val="36A65EF8"/>
    <w:rsid w:val="36A93A55"/>
    <w:rsid w:val="36FB2C59"/>
    <w:rsid w:val="373827F1"/>
    <w:rsid w:val="376E3416"/>
    <w:rsid w:val="378C21EF"/>
    <w:rsid w:val="379345D1"/>
    <w:rsid w:val="37974BFF"/>
    <w:rsid w:val="37BE23C2"/>
    <w:rsid w:val="37F02022"/>
    <w:rsid w:val="37F27DC4"/>
    <w:rsid w:val="37FA0AD6"/>
    <w:rsid w:val="383E2980"/>
    <w:rsid w:val="384A1E85"/>
    <w:rsid w:val="387F2F2C"/>
    <w:rsid w:val="3A3F65BD"/>
    <w:rsid w:val="3A773720"/>
    <w:rsid w:val="3AB9612A"/>
    <w:rsid w:val="3AFC391A"/>
    <w:rsid w:val="3B14535E"/>
    <w:rsid w:val="3C036E6F"/>
    <w:rsid w:val="3C3E683E"/>
    <w:rsid w:val="3C456A69"/>
    <w:rsid w:val="3C487023"/>
    <w:rsid w:val="3C887586"/>
    <w:rsid w:val="3C98754A"/>
    <w:rsid w:val="3D522FF0"/>
    <w:rsid w:val="3D5A40AB"/>
    <w:rsid w:val="3D9F69C6"/>
    <w:rsid w:val="3DB441B2"/>
    <w:rsid w:val="3DD2066D"/>
    <w:rsid w:val="3DD452AF"/>
    <w:rsid w:val="3DD967AA"/>
    <w:rsid w:val="3E371640"/>
    <w:rsid w:val="3E66724B"/>
    <w:rsid w:val="3EB9202C"/>
    <w:rsid w:val="3EB93F1F"/>
    <w:rsid w:val="3EC14D90"/>
    <w:rsid w:val="3EE80BA8"/>
    <w:rsid w:val="3EF869AA"/>
    <w:rsid w:val="3F0B65A3"/>
    <w:rsid w:val="3FC82DB5"/>
    <w:rsid w:val="404A6AC9"/>
    <w:rsid w:val="40E60214"/>
    <w:rsid w:val="41394D83"/>
    <w:rsid w:val="41803823"/>
    <w:rsid w:val="419E3A51"/>
    <w:rsid w:val="41A706B0"/>
    <w:rsid w:val="41BF02F4"/>
    <w:rsid w:val="422E1FDF"/>
    <w:rsid w:val="423C71D1"/>
    <w:rsid w:val="426213B7"/>
    <w:rsid w:val="42CE1EFE"/>
    <w:rsid w:val="435C1211"/>
    <w:rsid w:val="43DE4636"/>
    <w:rsid w:val="44106AE0"/>
    <w:rsid w:val="44367FF1"/>
    <w:rsid w:val="4500284B"/>
    <w:rsid w:val="45407B03"/>
    <w:rsid w:val="45C004AA"/>
    <w:rsid w:val="46587D68"/>
    <w:rsid w:val="46CC5915"/>
    <w:rsid w:val="4775773D"/>
    <w:rsid w:val="47847BD9"/>
    <w:rsid w:val="47AD4330"/>
    <w:rsid w:val="480A05A9"/>
    <w:rsid w:val="48254A41"/>
    <w:rsid w:val="48582775"/>
    <w:rsid w:val="48836EA0"/>
    <w:rsid w:val="48C72F43"/>
    <w:rsid w:val="48E1049E"/>
    <w:rsid w:val="49056F4D"/>
    <w:rsid w:val="49280B38"/>
    <w:rsid w:val="492C5B3D"/>
    <w:rsid w:val="49A4783E"/>
    <w:rsid w:val="49CB6BF8"/>
    <w:rsid w:val="4A603B29"/>
    <w:rsid w:val="4A790DED"/>
    <w:rsid w:val="4A85340F"/>
    <w:rsid w:val="4ACE7F4F"/>
    <w:rsid w:val="4AED65F2"/>
    <w:rsid w:val="4B635392"/>
    <w:rsid w:val="4BA21255"/>
    <w:rsid w:val="4BAA769E"/>
    <w:rsid w:val="4DC66F68"/>
    <w:rsid w:val="4E091027"/>
    <w:rsid w:val="510A2956"/>
    <w:rsid w:val="514F2EE0"/>
    <w:rsid w:val="51A458AF"/>
    <w:rsid w:val="527F49C8"/>
    <w:rsid w:val="52C2227D"/>
    <w:rsid w:val="52E54E97"/>
    <w:rsid w:val="52EE0AE7"/>
    <w:rsid w:val="536967A8"/>
    <w:rsid w:val="53AB6FFE"/>
    <w:rsid w:val="5403556E"/>
    <w:rsid w:val="54664C18"/>
    <w:rsid w:val="554C057B"/>
    <w:rsid w:val="56065626"/>
    <w:rsid w:val="562E1D47"/>
    <w:rsid w:val="566E6D8E"/>
    <w:rsid w:val="56B606CC"/>
    <w:rsid w:val="56FF0A43"/>
    <w:rsid w:val="57AC75B3"/>
    <w:rsid w:val="57D705F2"/>
    <w:rsid w:val="57EA4190"/>
    <w:rsid w:val="59677D4F"/>
    <w:rsid w:val="598A03E4"/>
    <w:rsid w:val="59A57A14"/>
    <w:rsid w:val="5AAF6E02"/>
    <w:rsid w:val="5AEA3AD0"/>
    <w:rsid w:val="5B1D2529"/>
    <w:rsid w:val="5B35349E"/>
    <w:rsid w:val="5B3F7D83"/>
    <w:rsid w:val="5B527398"/>
    <w:rsid w:val="5BA959B9"/>
    <w:rsid w:val="5CC70FAC"/>
    <w:rsid w:val="5D173705"/>
    <w:rsid w:val="5D1B4B8A"/>
    <w:rsid w:val="5D382218"/>
    <w:rsid w:val="5D915ACD"/>
    <w:rsid w:val="5E093F5D"/>
    <w:rsid w:val="5E14032D"/>
    <w:rsid w:val="5E611270"/>
    <w:rsid w:val="5EB2026E"/>
    <w:rsid w:val="5EE6799F"/>
    <w:rsid w:val="5F9D7611"/>
    <w:rsid w:val="5FA30C9C"/>
    <w:rsid w:val="5FE13E30"/>
    <w:rsid w:val="60883A59"/>
    <w:rsid w:val="60A608A8"/>
    <w:rsid w:val="61033D16"/>
    <w:rsid w:val="623E76D0"/>
    <w:rsid w:val="625B24D7"/>
    <w:rsid w:val="62CD795C"/>
    <w:rsid w:val="6438579B"/>
    <w:rsid w:val="655749FB"/>
    <w:rsid w:val="65892C9E"/>
    <w:rsid w:val="65E5671A"/>
    <w:rsid w:val="66EA0C9A"/>
    <w:rsid w:val="66FB3BC1"/>
    <w:rsid w:val="67023348"/>
    <w:rsid w:val="6753255C"/>
    <w:rsid w:val="678F7868"/>
    <w:rsid w:val="686F59C5"/>
    <w:rsid w:val="68985C4A"/>
    <w:rsid w:val="68BB275A"/>
    <w:rsid w:val="695E0A51"/>
    <w:rsid w:val="6AE713EB"/>
    <w:rsid w:val="6B015D37"/>
    <w:rsid w:val="6B827FD4"/>
    <w:rsid w:val="6B8D7C67"/>
    <w:rsid w:val="6B9014C7"/>
    <w:rsid w:val="6C7B13C4"/>
    <w:rsid w:val="6C7F53F5"/>
    <w:rsid w:val="6CA73029"/>
    <w:rsid w:val="6CB25A7F"/>
    <w:rsid w:val="6D027CD6"/>
    <w:rsid w:val="6DD71BCE"/>
    <w:rsid w:val="6E3164EF"/>
    <w:rsid w:val="6E550ED4"/>
    <w:rsid w:val="6EA5652C"/>
    <w:rsid w:val="6ECD772E"/>
    <w:rsid w:val="6ED71557"/>
    <w:rsid w:val="6F0C38CA"/>
    <w:rsid w:val="6F6774FE"/>
    <w:rsid w:val="70243E6C"/>
    <w:rsid w:val="706A3FF6"/>
    <w:rsid w:val="70737BDA"/>
    <w:rsid w:val="70D03715"/>
    <w:rsid w:val="70E0155E"/>
    <w:rsid w:val="711219DD"/>
    <w:rsid w:val="713662ED"/>
    <w:rsid w:val="713C5670"/>
    <w:rsid w:val="719201E7"/>
    <w:rsid w:val="71F96DCA"/>
    <w:rsid w:val="72107C5B"/>
    <w:rsid w:val="732D2693"/>
    <w:rsid w:val="73476175"/>
    <w:rsid w:val="7357254E"/>
    <w:rsid w:val="73611393"/>
    <w:rsid w:val="736A2461"/>
    <w:rsid w:val="7431112D"/>
    <w:rsid w:val="749D6575"/>
    <w:rsid w:val="754F1E1A"/>
    <w:rsid w:val="761859F6"/>
    <w:rsid w:val="76206BC5"/>
    <w:rsid w:val="76EB3FE1"/>
    <w:rsid w:val="770E210B"/>
    <w:rsid w:val="773210D8"/>
    <w:rsid w:val="77846985"/>
    <w:rsid w:val="778A5616"/>
    <w:rsid w:val="77F80B55"/>
    <w:rsid w:val="780E1C86"/>
    <w:rsid w:val="78184195"/>
    <w:rsid w:val="784D0939"/>
    <w:rsid w:val="78C639C7"/>
    <w:rsid w:val="78E1515C"/>
    <w:rsid w:val="790731F3"/>
    <w:rsid w:val="790756AF"/>
    <w:rsid w:val="7949658A"/>
    <w:rsid w:val="797A02ED"/>
    <w:rsid w:val="79B23223"/>
    <w:rsid w:val="79DE1204"/>
    <w:rsid w:val="7A447EB1"/>
    <w:rsid w:val="7A5B0A66"/>
    <w:rsid w:val="7A6263B1"/>
    <w:rsid w:val="7A757773"/>
    <w:rsid w:val="7ADF17B7"/>
    <w:rsid w:val="7AEB0EA5"/>
    <w:rsid w:val="7AF9718A"/>
    <w:rsid w:val="7B1A53E3"/>
    <w:rsid w:val="7B386B42"/>
    <w:rsid w:val="7B5C145D"/>
    <w:rsid w:val="7BB57665"/>
    <w:rsid w:val="7BBC102F"/>
    <w:rsid w:val="7BD509C2"/>
    <w:rsid w:val="7BDC0741"/>
    <w:rsid w:val="7C070CDC"/>
    <w:rsid w:val="7C9625E2"/>
    <w:rsid w:val="7CCA4B4C"/>
    <w:rsid w:val="7D0716F9"/>
    <w:rsid w:val="7D2A47F3"/>
    <w:rsid w:val="7DBA6C81"/>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 w:type="character" w:customStyle="1" w:styleId="28">
    <w:name w:val="font61"/>
    <w:basedOn w:val="11"/>
    <w:qFormat/>
    <w:uiPriority w:val="0"/>
    <w:rPr>
      <w:rFonts w:hint="default" w:ascii="Times New Roman" w:hAnsi="Times New Roman" w:cs="Times New Roman"/>
      <w:color w:val="000000"/>
      <w:sz w:val="18"/>
      <w:szCs w:val="18"/>
      <w:u w:val="none"/>
    </w:rPr>
  </w:style>
  <w:style w:type="character" w:customStyle="1" w:styleId="29">
    <w:name w:val="font7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7</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2021-10-18T01:39:23Z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453E5B5609E442AFA1DE49CA80052D1B</vt:lpwstr>
  </property>
</Properties>
</file>