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炼钢用轻烧镁球</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rPr>
        <w:t>月</w:t>
      </w:r>
      <w:r>
        <w:rPr>
          <w:rFonts w:hint="eastAsia"/>
          <w:color w:val="000000"/>
          <w:sz w:val="24"/>
          <w:szCs w:val="24"/>
          <w:u w:val="single"/>
          <w:lang w:val="en-US" w:eastAsia="zh-CN"/>
        </w:rPr>
        <w:t>2</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LGSC</w:t>
      </w:r>
      <w:r>
        <w:rPr>
          <w:rFonts w:hint="eastAsia" w:ascii="宋体" w:hAnsi="宋体"/>
          <w:u w:val="single"/>
          <w:lang w:val="en-US" w:eastAsia="zh-CN"/>
        </w:rPr>
        <w:t>2021110003QSMQ</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炼钢用轻烧镁球</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物资采购部</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柯  工</w:t>
      </w:r>
      <w:r>
        <w:rPr>
          <w:rFonts w:hint="eastAsia" w:ascii="宋体" w:hAnsi="宋体" w:eastAsia="宋体" w:cs="Times New Roman"/>
          <w:kern w:val="2"/>
          <w:sz w:val="24"/>
          <w:szCs w:val="24"/>
          <w:highlight w:val="none"/>
          <w:lang w:val="en-US" w:eastAsia="zh-CN" w:bidi="ar-SA"/>
        </w:rPr>
        <w:t xml:space="preserve">    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11</w:t>
      </w:r>
      <w:r>
        <w:rPr>
          <w:rFonts w:ascii="宋体" w:hAnsi="宋体"/>
          <w:bCs/>
          <w:sz w:val="24"/>
          <w:szCs w:val="24"/>
        </w:rPr>
        <w:t>月</w:t>
      </w:r>
      <w:r>
        <w:rPr>
          <w:rFonts w:hint="eastAsia" w:ascii="宋体" w:hAnsi="宋体"/>
          <w:bCs/>
          <w:sz w:val="24"/>
          <w:szCs w:val="24"/>
          <w:u w:val="single"/>
          <w:lang w:val="en-US" w:eastAsia="zh-CN"/>
        </w:rPr>
        <w:t>9</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bookmarkStart w:id="0" w:name="_GoBack"/>
      <w:bookmarkEnd w:id="0"/>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11</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捌万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9</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35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满足炼钢生产使用要求，详见《轻烧镁球质量标准技术统一平台》。</w:t>
      </w:r>
    </w:p>
    <w:p>
      <w:pPr>
        <w:numPr>
          <w:ilvl w:val="0"/>
          <w:numId w:val="8"/>
        </w:numPr>
        <w:spacing w:line="360" w:lineRule="auto"/>
        <w:ind w:left="358" w:leftChars="0" w:firstLine="482" w:firstLineChars="0"/>
        <w:rPr>
          <w:rFonts w:hint="eastAsia"/>
          <w:lang w:val="en-US" w:eastAsia="zh-CN"/>
        </w:rPr>
      </w:pPr>
      <w:r>
        <w:rPr>
          <w:rFonts w:hint="eastAsia" w:ascii="宋体" w:hAnsi="宋体"/>
          <w:b/>
          <w:color w:val="FF0000"/>
          <w:sz w:val="24"/>
          <w:szCs w:val="24"/>
          <w:lang w:val="en-US" w:eastAsia="zh-CN"/>
        </w:rPr>
        <w:t>本次招标招四个月的供货量约6000吨；（该数量为四个月理论需求数量，具体供货数量以生产单位实际用量为准，具体供货时间以商务部门通知为准）按照单吨价报价，并注明相应的供应数量。</w:t>
      </w:r>
    </w:p>
    <w:p>
      <w:pPr>
        <w:numPr>
          <w:ilvl w:val="0"/>
          <w:numId w:val="8"/>
        </w:numPr>
        <w:spacing w:line="360" w:lineRule="auto"/>
        <w:ind w:left="35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要求生产企业，提供2019年至今两份或两份以上对钢企轻烧镁球的供货业绩。（附：合同+发票复印件）</w:t>
      </w:r>
    </w:p>
    <w:p>
      <w:pPr>
        <w:numPr>
          <w:ilvl w:val="0"/>
          <w:numId w:val="8"/>
        </w:numPr>
        <w:spacing w:line="360" w:lineRule="auto"/>
        <w:ind w:left="35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招标合同执行周期为4个月，按我方要求随时准备送货进厂；包装吨袋质量必须保证，标识清楚。</w:t>
      </w:r>
    </w:p>
    <w:p>
      <w:pPr>
        <w:numPr>
          <w:ilvl w:val="0"/>
          <w:numId w:val="8"/>
        </w:numPr>
        <w:spacing w:line="360" w:lineRule="auto"/>
        <w:ind w:left="358" w:leftChars="0" w:firstLine="482" w:firstLineChars="0"/>
        <w:rPr>
          <w:rFonts w:hint="default" w:ascii="宋体" w:hAnsi="宋体"/>
          <w:b/>
          <w:color w:val="FF0000"/>
          <w:sz w:val="24"/>
          <w:szCs w:val="24"/>
          <w:lang w:val="en-US" w:eastAsia="zh-CN"/>
        </w:rPr>
      </w:pPr>
      <w:r>
        <w:rPr>
          <w:rFonts w:hint="eastAsia" w:ascii="宋体" w:hAnsi="宋体"/>
          <w:b/>
          <w:color w:val="FF0000"/>
          <w:sz w:val="24"/>
          <w:szCs w:val="24"/>
          <w:lang w:val="en-US" w:eastAsia="zh-CN"/>
        </w:rPr>
        <w:t>报价要求含税、含运费，一票制。详见附件报价格式表格。</w:t>
      </w: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default"/>
          <w:lang w:val="en-US" w:eastAsia="zh-CN"/>
        </w:rPr>
      </w:pPr>
    </w:p>
    <w:p>
      <w:pPr>
        <w:pStyle w:val="2"/>
        <w:rPr>
          <w:rFonts w:hint="default"/>
          <w:lang w:val="en-US" w:eastAsia="zh-CN"/>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pStyle w:val="2"/>
        <w:rPr>
          <w:b/>
          <w:sz w:val="24"/>
          <w:szCs w:val="24"/>
        </w:rPr>
      </w:pPr>
    </w:p>
    <w:p>
      <w:pPr>
        <w:rPr>
          <w:b/>
          <w:sz w:val="24"/>
          <w:szCs w:val="24"/>
        </w:rPr>
      </w:pPr>
    </w:p>
    <w:p>
      <w:pPr>
        <w:pStyle w:val="2"/>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p>
    <w:p>
      <w:pPr>
        <w:jc w:val="center"/>
        <w:rPr>
          <w:rFonts w:hint="eastAsia"/>
          <w:b/>
          <w:color w:val="auto"/>
          <w:sz w:val="36"/>
          <w:szCs w:val="36"/>
          <w:u w:val="none" w:color="auto"/>
          <w:lang w:eastAsia="zh-CN"/>
        </w:rPr>
      </w:pPr>
      <w:r>
        <w:rPr>
          <w:rFonts w:hint="eastAsia"/>
          <w:b/>
          <w:sz w:val="36"/>
          <w:szCs w:val="36"/>
          <w:lang w:eastAsia="zh-CN"/>
        </w:rPr>
        <w:t>轻烧镁球</w:t>
      </w:r>
      <w:r>
        <w:rPr>
          <w:rFonts w:hint="eastAsia"/>
          <w:b/>
          <w:color w:val="auto"/>
          <w:sz w:val="36"/>
          <w:szCs w:val="36"/>
          <w:u w:val="none" w:color="auto"/>
          <w:lang w:val="en-US" w:eastAsia="zh-CN"/>
        </w:rPr>
        <w:t>质</w:t>
      </w:r>
      <w:r>
        <w:rPr>
          <w:rFonts w:hint="eastAsia"/>
          <w:b/>
          <w:color w:val="auto"/>
          <w:sz w:val="36"/>
          <w:szCs w:val="36"/>
          <w:u w:val="none" w:color="auto"/>
          <w:lang w:eastAsia="zh-CN"/>
        </w:rPr>
        <w:t>量标准技术统一平台</w:t>
      </w:r>
    </w:p>
    <w:p>
      <w:pPr>
        <w:keepNext w:val="0"/>
        <w:keepLines w:val="0"/>
        <w:pageBreakBefore w:val="0"/>
        <w:widowControl w:val="0"/>
        <w:numPr>
          <w:ilvl w:val="0"/>
          <w:numId w:val="9"/>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本标准规定了炼钢轻烧镁球的采购标准、让步接受条件、不合格处理及送货要求。</w:t>
      </w:r>
    </w:p>
    <w:p>
      <w:pPr>
        <w:keepNext w:val="0"/>
        <w:keepLines w:val="0"/>
        <w:pageBreakBefore w:val="0"/>
        <w:widowControl w:val="0"/>
        <w:numPr>
          <w:ilvl w:val="0"/>
          <w:numId w:val="10"/>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MgO、SiO2、灼减、粒度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MgO≥60%；SiO2≤5%；灼减15～32%；粒度5～50mm；小于5mm的比例≤5%（压迫力KN/个1.8～2.2）</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2.3让步接受条件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MgO≥57%；SiO2≤7.5%；灼减≤37%；粒度5～50mm；小于5mm的比例≤15%（压迫力KN/个1.8～2.2）</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2.4不合格处理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1、MgO超出标准在让步范围内，每下降0.1%，合同价格降0.25%；超出让步范围原则上退货或在原处罚基础上双倍扣罚。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2、SiO2超出标准在让步范围内，每上升0.1%，合同价格降0.5%；超出让步范围原则上退货或在原处罚基础上双倍扣罚。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3、灼减超出标准在让步范围内，32%＜灼减＜35%间，每上升0.1%，降价0.3%；35%≤灼减≤37%间，每上升0.1%，合同价格降0.8%；超出让步范围原则上退货或在原处罚基础上双倍扣罚。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4、粒度超出标准在让步范围内，扣超出吨位1.5倍；超出让步退货或按超出吨位双倍扣吨。</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w:t>
      </w:r>
      <w:r>
        <w:rPr>
          <w:rFonts w:hint="eastAsia"/>
          <w:b/>
          <w:bCs w:val="0"/>
          <w:color w:val="auto"/>
          <w:sz w:val="24"/>
          <w:szCs w:val="24"/>
          <w:u w:val="none" w:color="auto"/>
          <w:lang w:val="en-US" w:eastAsia="zh-CN"/>
        </w:rPr>
        <w:t>.送货要求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1、厂外设有仓库，按我方要求随时准备送货进厂，进厂卸货服从我方管理。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w:t>
      </w:r>
      <w:r>
        <w:rPr>
          <w:rFonts w:hint="default" w:ascii="Times New Roman" w:hAnsi="Times New Roman" w:cs="Times New Roman"/>
          <w:b/>
          <w:bCs w:val="0"/>
          <w:color w:val="auto"/>
          <w:sz w:val="24"/>
          <w:szCs w:val="24"/>
          <w:u w:val="none" w:color="auto"/>
        </w:rPr>
        <w:t>包装吨袋质量必须保证</w:t>
      </w:r>
      <w:r>
        <w:rPr>
          <w:rFonts w:hint="default" w:ascii="Times New Roman" w:hAnsi="Times New Roman" w:cs="Times New Roman"/>
          <w:b w:val="0"/>
          <w:bCs/>
          <w:color w:val="auto"/>
          <w:sz w:val="24"/>
          <w:szCs w:val="24"/>
          <w:u w:val="none" w:color="auto"/>
        </w:rPr>
        <w:t>，如果因为吨袋质量问题导致在卸货过程中出现漏料、撒料的情况，全部责任由供方承担。</w:t>
      </w:r>
      <w:r>
        <w:rPr>
          <w:rFonts w:hint="eastAsia" w:cs="Times New Roman"/>
          <w:b w:val="0"/>
          <w:bCs/>
          <w:color w:val="auto"/>
          <w:sz w:val="24"/>
          <w:szCs w:val="24"/>
          <w:u w:val="none" w:color="auto"/>
          <w:lang w:eastAsia="zh-CN"/>
        </w:rPr>
        <w:t>包装袋上需有名称、厂家、重量、生产日期等信息。</w:t>
      </w:r>
    </w:p>
    <w:p>
      <w:pPr>
        <w:keepNext w:val="0"/>
        <w:keepLines w:val="0"/>
        <w:pageBreakBefore w:val="0"/>
        <w:widowControl w:val="0"/>
        <w:numPr>
          <w:ilvl w:val="0"/>
          <w:numId w:val="11"/>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卸货地点</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轻烧镁球卸至炼钢部库房。</w:t>
      </w:r>
    </w:p>
    <w:p>
      <w:pPr>
        <w:jc w:val="left"/>
        <w:rPr>
          <w:rFonts w:hint="eastAsia"/>
          <w:b/>
          <w:color w:val="auto"/>
          <w:sz w:val="24"/>
          <w:szCs w:val="24"/>
          <w:u w:val="none" w:color="auto"/>
          <w:lang w:val="en-US" w:eastAsia="zh-CN"/>
        </w:rPr>
      </w:pPr>
    </w:p>
    <w:p>
      <w:pPr>
        <w:jc w:val="center"/>
        <w:rPr>
          <w:rFonts w:hint="eastAsia"/>
          <w:b/>
          <w:color w:val="auto"/>
          <w:sz w:val="24"/>
          <w:szCs w:val="24"/>
          <w:u w:val="none" w:color="auto"/>
          <w:lang w:val="en-US" w:eastAsia="zh-CN"/>
        </w:rPr>
      </w:pPr>
    </w:p>
    <w:p>
      <w:pPr>
        <w:jc w:val="left"/>
        <w:rPr>
          <w:rFonts w:hint="eastAsia"/>
          <w:b/>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cs="Times New Roman"/>
          <w:b w:val="0"/>
          <w:bCs/>
          <w:color w:val="auto"/>
          <w:sz w:val="24"/>
          <w:szCs w:val="24"/>
          <w:u w:val="none" w:color="auto"/>
          <w:lang w:val="en-US" w:eastAsia="zh-CN"/>
        </w:rPr>
      </w:pPr>
    </w:p>
    <w:p>
      <w:pPr>
        <w:rPr>
          <w:rFonts w:hint="eastAsia" w:cs="Times New Roman"/>
          <w:b w:val="0"/>
          <w:bCs/>
          <w:color w:val="auto"/>
          <w:sz w:val="24"/>
          <w:szCs w:val="24"/>
          <w:u w:val="none" w:color="auto"/>
          <w:lang w:val="en-US" w:eastAsia="zh-CN"/>
        </w:rPr>
      </w:pPr>
    </w:p>
    <w:p>
      <w:pPr>
        <w:pStyle w:val="2"/>
        <w:rPr>
          <w:rFonts w:hint="eastAsia"/>
          <w:lang w:val="en-US" w:eastAsia="zh-CN"/>
        </w:rPr>
      </w:pPr>
    </w:p>
    <w:p>
      <w:pPr>
        <w:jc w:val="both"/>
        <w:rPr>
          <w:rFonts w:hint="eastAsia"/>
          <w:b/>
          <w:color w:val="auto"/>
          <w:sz w:val="28"/>
          <w:szCs w:val="28"/>
          <w:u w:val="none" w:color="auto"/>
          <w:lang w:val="en-US" w:eastAsia="zh-CN"/>
        </w:rPr>
      </w:pPr>
    </w:p>
    <w:p>
      <w:pPr>
        <w:jc w:val="left"/>
        <w:rPr>
          <w:rFonts w:hint="eastAsia"/>
          <w:b/>
          <w:color w:val="auto"/>
          <w:sz w:val="24"/>
          <w:szCs w:val="24"/>
          <w:u w:val="none" w:color="auto"/>
          <w:lang w:val="en-US" w:eastAsia="zh-CN"/>
        </w:rPr>
      </w:pPr>
    </w:p>
    <w:p>
      <w:pPr>
        <w:widowControl w:val="0"/>
        <w:spacing w:line="240" w:lineRule="atLeast"/>
        <w:jc w:val="both"/>
        <w:rPr>
          <w:rFonts w:hint="eastAsia" w:asciiTheme="minorEastAsia" w:hAnsiTheme="minorEastAsia" w:eastAsiaTheme="minorEastAsia"/>
          <w:color w:val="000000"/>
          <w:sz w:val="28"/>
          <w:szCs w:val="28"/>
        </w:rPr>
      </w:pP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rPr>
          <w:rFonts w:hint="eastAsia" w:ascii="仿宋_GB2312" w:eastAsia="仿宋_GB2312"/>
          <w:sz w:val="28"/>
          <w:szCs w:val="28"/>
        </w:rPr>
      </w:pPr>
    </w:p>
    <w:p>
      <w:pPr>
        <w:rPr>
          <w:rFonts w:hint="eastAsia"/>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2"/>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2"/>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2"/>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2"/>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2"/>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炼钢用轻烧镁球</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2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238"/>
        <w:gridCol w:w="1806"/>
        <w:gridCol w:w="3925"/>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333"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1008" w:type="pct"/>
            <w:noWrap w:val="0"/>
            <w:vAlign w:val="center"/>
          </w:tcPr>
          <w:p>
            <w:pPr>
              <w:jc w:val="center"/>
              <w:rPr>
                <w:rFonts w:hint="eastAsia"/>
                <w:sz w:val="18"/>
                <w:szCs w:val="18"/>
              </w:rPr>
            </w:pPr>
            <w:r>
              <w:rPr>
                <w:rFonts w:hint="eastAsia"/>
                <w:sz w:val="18"/>
                <w:szCs w:val="18"/>
                <w:lang w:val="en-US" w:eastAsia="zh-CN"/>
              </w:rPr>
              <w:t>四个月</w:t>
            </w:r>
            <w:r>
              <w:rPr>
                <w:rFonts w:hint="eastAsia"/>
                <w:sz w:val="18"/>
                <w:szCs w:val="18"/>
              </w:rPr>
              <w:t>理论要求数量</w:t>
            </w:r>
          </w:p>
        </w:tc>
        <w:tc>
          <w:tcPr>
            <w:tcW w:w="2191" w:type="pct"/>
            <w:noWrap w:val="0"/>
            <w:vAlign w:val="center"/>
          </w:tcPr>
          <w:p>
            <w:pPr>
              <w:jc w:val="center"/>
              <w:rPr>
                <w:rFonts w:hint="eastAsia"/>
                <w:sz w:val="18"/>
                <w:szCs w:val="18"/>
              </w:rPr>
            </w:pPr>
            <w:r>
              <w:rPr>
                <w:rFonts w:hint="eastAsia"/>
                <w:sz w:val="18"/>
                <w:szCs w:val="18"/>
              </w:rPr>
              <w:t>含税、含运费报价（元/吨）</w:t>
            </w:r>
          </w:p>
        </w:tc>
        <w:tc>
          <w:tcPr>
            <w:tcW w:w="775" w:type="pct"/>
            <w:noWrap w:val="0"/>
            <w:vAlign w:val="center"/>
          </w:tcPr>
          <w:p>
            <w:pPr>
              <w:jc w:val="center"/>
              <w:rPr>
                <w:rFonts w:hint="eastAsia"/>
                <w:sz w:val="18"/>
                <w:szCs w:val="18"/>
              </w:rPr>
            </w:pPr>
            <w:r>
              <w:rPr>
                <w:rFonts w:hint="eastAsia"/>
                <w:sz w:val="18"/>
                <w:szCs w:val="18"/>
              </w:rPr>
              <w:t>供应量（吨）</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333"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default"/>
                <w:sz w:val="24"/>
                <w:szCs w:val="24"/>
                <w:lang w:val="en-US"/>
              </w:rPr>
            </w:pPr>
            <w:r>
              <w:rPr>
                <w:rFonts w:hint="eastAsia" w:ascii="宋体" w:hAnsi="宋体"/>
                <w:b/>
                <w:color w:val="FF0000"/>
                <w:sz w:val="28"/>
                <w:szCs w:val="28"/>
                <w:u w:val="single"/>
                <w:lang w:val="en-US" w:eastAsia="zh-CN"/>
              </w:rPr>
              <w:t>炼钢用轻烧镁球</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6000</w:t>
            </w:r>
            <w:r>
              <w:rPr>
                <w:rFonts w:hint="eastAsia" w:ascii="宋体" w:hAnsi="宋体"/>
                <w:b/>
                <w:color w:val="FF0000"/>
                <w:sz w:val="24"/>
                <w:szCs w:val="24"/>
              </w:rPr>
              <w:t>吨</w:t>
            </w:r>
          </w:p>
        </w:tc>
        <w:tc>
          <w:tcPr>
            <w:tcW w:w="219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75"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333"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75"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5000" w:type="pct"/>
            <w:gridSpan w:val="5"/>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5000" w:type="pct"/>
            <w:gridSpan w:val="5"/>
            <w:noWrap w:val="0"/>
            <w:vAlign w:val="top"/>
          </w:tcPr>
          <w:p>
            <w:pPr>
              <w:rPr>
                <w:rFonts w:hint="eastAsia"/>
                <w:sz w:val="28"/>
                <w:szCs w:val="28"/>
              </w:rPr>
            </w:pPr>
            <w:r>
              <w:rPr>
                <w:rFonts w:hint="eastAsia"/>
                <w:sz w:val="28"/>
                <w:szCs w:val="28"/>
              </w:rPr>
              <w:t>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5000" w:type="pct"/>
            <w:gridSpan w:val="5"/>
            <w:noWrap w:val="0"/>
            <w:vAlign w:val="top"/>
          </w:tcPr>
          <w:p>
            <w:pPr>
              <w:rPr>
                <w:rFonts w:hint="eastAsia"/>
                <w:sz w:val="28"/>
                <w:szCs w:val="28"/>
              </w:rPr>
            </w:pPr>
            <w:r>
              <w:rPr>
                <w:rFonts w:hint="eastAsia"/>
                <w:sz w:val="28"/>
                <w:szCs w:val="28"/>
              </w:rPr>
              <w:t>日期：</w:t>
            </w:r>
          </w:p>
        </w:tc>
      </w:tr>
    </w:tbl>
    <w:p>
      <w:pPr>
        <w:rPr>
          <w:rFonts w:hint="eastAsia"/>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358"/>
      </w:pPr>
      <w:rPr>
        <w:rFonts w:hint="default"/>
        <w:b/>
        <w:bCs/>
        <w:color w:val="FF0000"/>
      </w:r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00000008"/>
    <w:multiLevelType w:val="singleLevel"/>
    <w:tmpl w:val="00000008"/>
    <w:lvl w:ilvl="0" w:tentative="0">
      <w:start w:val="2"/>
      <w:numFmt w:val="decimal"/>
      <w:suff w:val="nothing"/>
      <w:lvlText w:val="%1."/>
      <w:lvlJc w:val="left"/>
    </w:lvl>
  </w:abstractNum>
  <w:abstractNum w:abstractNumId="5">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6">
    <w:nsid w:val="0000000B"/>
    <w:multiLevelType w:val="singleLevel"/>
    <w:tmpl w:val="0000000B"/>
    <w:lvl w:ilvl="0" w:tentative="0">
      <w:start w:val="1"/>
      <w:numFmt w:val="decimal"/>
      <w:lvlText w:val="（%1）"/>
      <w:lvlJc w:val="left"/>
      <w:pPr>
        <w:tabs>
          <w:tab w:val="left" w:pos="1125"/>
        </w:tabs>
        <w:ind w:left="1125" w:hanging="705"/>
      </w:pPr>
    </w:lvl>
  </w:abstractNum>
  <w:abstractNum w:abstractNumId="7">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9">
    <w:nsid w:val="0000000E"/>
    <w:multiLevelType w:val="singleLevel"/>
    <w:tmpl w:val="0000000E"/>
    <w:lvl w:ilvl="0" w:tentative="0">
      <w:start w:val="1"/>
      <w:numFmt w:val="decimal"/>
      <w:lvlText w:val="%1、"/>
      <w:lvlJc w:val="left"/>
      <w:pPr>
        <w:tabs>
          <w:tab w:val="left" w:pos="705"/>
        </w:tabs>
        <w:ind w:left="705" w:hanging="420"/>
      </w:pPr>
    </w:lvl>
  </w:abstractNum>
  <w:abstractNum w:abstractNumId="10">
    <w:nsid w:val="2C64BC62"/>
    <w:multiLevelType w:val="singleLevel"/>
    <w:tmpl w:val="2C64BC62"/>
    <w:lvl w:ilvl="0" w:tentative="0">
      <w:start w:val="1"/>
      <w:numFmt w:val="decimal"/>
      <w:lvlText w:val="%1."/>
      <w:lvlJc w:val="left"/>
      <w:pPr>
        <w:ind w:left="425" w:hanging="425"/>
      </w:pPr>
      <w:rPr>
        <w:rFonts w:hint="default"/>
      </w:rPr>
    </w:lvl>
  </w:abstractNum>
  <w:abstractNum w:abstractNumId="11">
    <w:nsid w:val="5AE2DA4B"/>
    <w:multiLevelType w:val="singleLevel"/>
    <w:tmpl w:val="5AE2DA4B"/>
    <w:lvl w:ilvl="0" w:tentative="0">
      <w:start w:val="14"/>
      <w:numFmt w:val="chineseCounting"/>
      <w:suff w:val="nothing"/>
      <w:lvlText w:val="%1、"/>
      <w:lvlJc w:val="left"/>
      <w:rPr>
        <w:rFonts w:hint="eastAsia"/>
      </w:rPr>
    </w:lvl>
  </w:abstractNum>
  <w:num w:numId="1">
    <w:abstractNumId w:val="5"/>
    <w:lvlOverride w:ilvl="0">
      <w:startOverride w:val="1"/>
    </w:lvlOverride>
  </w:num>
  <w:num w:numId="2">
    <w:abstractNumId w:val="9"/>
    <w:lvlOverride w:ilvl="0">
      <w:startOverride w:val="1"/>
    </w:lvlOverride>
  </w:num>
  <w:num w:numId="3">
    <w:abstractNumId w:val="8"/>
    <w:lvlOverride w:ilvl="0">
      <w:startOverride w:val="1"/>
    </w:lvlOverride>
  </w:num>
  <w:num w:numId="4">
    <w:abstractNumId w:val="6"/>
    <w:lvlOverride w:ilvl="0">
      <w:startOverride w:val="1"/>
    </w:lvlOverride>
  </w:num>
  <w:num w:numId="5">
    <w:abstractNumId w:val="7"/>
  </w:num>
  <w:num w:numId="6">
    <w:abstractNumId w:val="10"/>
  </w:num>
  <w:num w:numId="7">
    <w:abstractNumId w:val="11"/>
  </w:num>
  <w:num w:numId="8">
    <w:abstractNumId w:val="0"/>
  </w:num>
  <w:num w:numId="9">
    <w:abstractNumId w:val="3"/>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9F5175"/>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405CB"/>
    <w:rsid w:val="05DE4E53"/>
    <w:rsid w:val="06CB7169"/>
    <w:rsid w:val="07BA48CA"/>
    <w:rsid w:val="0831406E"/>
    <w:rsid w:val="083A4C2B"/>
    <w:rsid w:val="085B58B3"/>
    <w:rsid w:val="08A96692"/>
    <w:rsid w:val="090F2391"/>
    <w:rsid w:val="097B7AE5"/>
    <w:rsid w:val="0AF63A42"/>
    <w:rsid w:val="0B106156"/>
    <w:rsid w:val="0B5E1A54"/>
    <w:rsid w:val="0BFF25BD"/>
    <w:rsid w:val="0C0133DC"/>
    <w:rsid w:val="0CBC295F"/>
    <w:rsid w:val="0D2F279C"/>
    <w:rsid w:val="0DCC0A80"/>
    <w:rsid w:val="0DF07D84"/>
    <w:rsid w:val="0E497616"/>
    <w:rsid w:val="0E842CB1"/>
    <w:rsid w:val="0EEB0BB2"/>
    <w:rsid w:val="0F0803D8"/>
    <w:rsid w:val="0F347211"/>
    <w:rsid w:val="0FA76F34"/>
    <w:rsid w:val="10031B51"/>
    <w:rsid w:val="10094A89"/>
    <w:rsid w:val="10CA64E1"/>
    <w:rsid w:val="110928F7"/>
    <w:rsid w:val="11654D47"/>
    <w:rsid w:val="11BA6270"/>
    <w:rsid w:val="12623A3F"/>
    <w:rsid w:val="127D1B7B"/>
    <w:rsid w:val="135C10D5"/>
    <w:rsid w:val="139F3DA1"/>
    <w:rsid w:val="13D576D7"/>
    <w:rsid w:val="14772C2B"/>
    <w:rsid w:val="14881933"/>
    <w:rsid w:val="14F3071A"/>
    <w:rsid w:val="154D48F1"/>
    <w:rsid w:val="158A4695"/>
    <w:rsid w:val="16541AFE"/>
    <w:rsid w:val="1694444C"/>
    <w:rsid w:val="16F544DC"/>
    <w:rsid w:val="17131114"/>
    <w:rsid w:val="1724223F"/>
    <w:rsid w:val="17F97F08"/>
    <w:rsid w:val="18560C92"/>
    <w:rsid w:val="18ED4DB4"/>
    <w:rsid w:val="190E09F1"/>
    <w:rsid w:val="19B16948"/>
    <w:rsid w:val="1A8A6D05"/>
    <w:rsid w:val="1AA53F86"/>
    <w:rsid w:val="1AC95F4C"/>
    <w:rsid w:val="1B5669A2"/>
    <w:rsid w:val="1B846959"/>
    <w:rsid w:val="1B912201"/>
    <w:rsid w:val="1BB65A49"/>
    <w:rsid w:val="1BF731FE"/>
    <w:rsid w:val="1C430554"/>
    <w:rsid w:val="1CCB1E53"/>
    <w:rsid w:val="1D2E11E1"/>
    <w:rsid w:val="1E8C7D42"/>
    <w:rsid w:val="1E8E57E6"/>
    <w:rsid w:val="1E937D02"/>
    <w:rsid w:val="1F0727C6"/>
    <w:rsid w:val="1F0B69B1"/>
    <w:rsid w:val="1F107E3E"/>
    <w:rsid w:val="1F307613"/>
    <w:rsid w:val="1F4242F7"/>
    <w:rsid w:val="1F802445"/>
    <w:rsid w:val="1FF51B5E"/>
    <w:rsid w:val="202B640C"/>
    <w:rsid w:val="205026F2"/>
    <w:rsid w:val="205B3F9B"/>
    <w:rsid w:val="207B3D6D"/>
    <w:rsid w:val="20AF2F52"/>
    <w:rsid w:val="21133B37"/>
    <w:rsid w:val="21534F77"/>
    <w:rsid w:val="21A2160C"/>
    <w:rsid w:val="21E966E6"/>
    <w:rsid w:val="224B04E8"/>
    <w:rsid w:val="22B96773"/>
    <w:rsid w:val="22E00851"/>
    <w:rsid w:val="235C23EB"/>
    <w:rsid w:val="23701C2F"/>
    <w:rsid w:val="23CB766B"/>
    <w:rsid w:val="23CE57C2"/>
    <w:rsid w:val="23D22DCD"/>
    <w:rsid w:val="246A25A2"/>
    <w:rsid w:val="25206CD2"/>
    <w:rsid w:val="25230E4D"/>
    <w:rsid w:val="25466F1F"/>
    <w:rsid w:val="258E0AE8"/>
    <w:rsid w:val="25B129B0"/>
    <w:rsid w:val="268D7081"/>
    <w:rsid w:val="26F50CB1"/>
    <w:rsid w:val="26F906B4"/>
    <w:rsid w:val="278055FF"/>
    <w:rsid w:val="288D3DC5"/>
    <w:rsid w:val="28A22ADC"/>
    <w:rsid w:val="28B030F4"/>
    <w:rsid w:val="28E2171B"/>
    <w:rsid w:val="28F7675F"/>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3DE5B5C"/>
    <w:rsid w:val="342060A8"/>
    <w:rsid w:val="34BB556C"/>
    <w:rsid w:val="35212328"/>
    <w:rsid w:val="358603F2"/>
    <w:rsid w:val="36A65EF8"/>
    <w:rsid w:val="36A93A55"/>
    <w:rsid w:val="36FB2C59"/>
    <w:rsid w:val="373827F1"/>
    <w:rsid w:val="37400DC5"/>
    <w:rsid w:val="376E3416"/>
    <w:rsid w:val="378C21EF"/>
    <w:rsid w:val="379345D1"/>
    <w:rsid w:val="37974BFF"/>
    <w:rsid w:val="37BE23C2"/>
    <w:rsid w:val="37F02022"/>
    <w:rsid w:val="37F27DC4"/>
    <w:rsid w:val="37FA0AD6"/>
    <w:rsid w:val="383E2980"/>
    <w:rsid w:val="384A1E85"/>
    <w:rsid w:val="387F2F2C"/>
    <w:rsid w:val="398F1902"/>
    <w:rsid w:val="3A3F65BD"/>
    <w:rsid w:val="3A773720"/>
    <w:rsid w:val="3AB9612A"/>
    <w:rsid w:val="3AFC391A"/>
    <w:rsid w:val="3B14535E"/>
    <w:rsid w:val="3C036E6F"/>
    <w:rsid w:val="3C3E683E"/>
    <w:rsid w:val="3C456A69"/>
    <w:rsid w:val="3C487023"/>
    <w:rsid w:val="3C887586"/>
    <w:rsid w:val="3CB756C8"/>
    <w:rsid w:val="3CD340E5"/>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0F46E6"/>
    <w:rsid w:val="41394D83"/>
    <w:rsid w:val="41803823"/>
    <w:rsid w:val="419E3A51"/>
    <w:rsid w:val="41A706B0"/>
    <w:rsid w:val="41BF02F4"/>
    <w:rsid w:val="422E1FDF"/>
    <w:rsid w:val="423C71D1"/>
    <w:rsid w:val="426213B7"/>
    <w:rsid w:val="42CE1EFE"/>
    <w:rsid w:val="435C1211"/>
    <w:rsid w:val="43B41C8B"/>
    <w:rsid w:val="43DE4636"/>
    <w:rsid w:val="44106AE0"/>
    <w:rsid w:val="44367FF1"/>
    <w:rsid w:val="4500284B"/>
    <w:rsid w:val="45407B03"/>
    <w:rsid w:val="45C004AA"/>
    <w:rsid w:val="46587D68"/>
    <w:rsid w:val="46CC5915"/>
    <w:rsid w:val="47847BD9"/>
    <w:rsid w:val="47AD4330"/>
    <w:rsid w:val="480A05A9"/>
    <w:rsid w:val="48254A41"/>
    <w:rsid w:val="48582775"/>
    <w:rsid w:val="48836EA0"/>
    <w:rsid w:val="48C45175"/>
    <w:rsid w:val="48C72F43"/>
    <w:rsid w:val="48D94E07"/>
    <w:rsid w:val="48E1049E"/>
    <w:rsid w:val="49056F4D"/>
    <w:rsid w:val="49280B38"/>
    <w:rsid w:val="492C5B3D"/>
    <w:rsid w:val="49A4783E"/>
    <w:rsid w:val="4A3D281C"/>
    <w:rsid w:val="4A603B29"/>
    <w:rsid w:val="4A790DED"/>
    <w:rsid w:val="4A85340F"/>
    <w:rsid w:val="4ACE7F4F"/>
    <w:rsid w:val="4AED65F2"/>
    <w:rsid w:val="4B635392"/>
    <w:rsid w:val="4BA21255"/>
    <w:rsid w:val="4BAA769E"/>
    <w:rsid w:val="4D23274F"/>
    <w:rsid w:val="4D7B2123"/>
    <w:rsid w:val="4DC66F68"/>
    <w:rsid w:val="4E091027"/>
    <w:rsid w:val="4E1D39CD"/>
    <w:rsid w:val="4ED37EC9"/>
    <w:rsid w:val="4F8C6F78"/>
    <w:rsid w:val="510A2956"/>
    <w:rsid w:val="514F2EE0"/>
    <w:rsid w:val="517F329F"/>
    <w:rsid w:val="51A458AF"/>
    <w:rsid w:val="51CD60D0"/>
    <w:rsid w:val="527F49C8"/>
    <w:rsid w:val="52D332CB"/>
    <w:rsid w:val="52E54E97"/>
    <w:rsid w:val="52EE0AE7"/>
    <w:rsid w:val="536967A8"/>
    <w:rsid w:val="53AB6FFE"/>
    <w:rsid w:val="5403556E"/>
    <w:rsid w:val="54664C18"/>
    <w:rsid w:val="54E217E5"/>
    <w:rsid w:val="554C057B"/>
    <w:rsid w:val="56065626"/>
    <w:rsid w:val="562E1D47"/>
    <w:rsid w:val="566E6D8E"/>
    <w:rsid w:val="56B606CC"/>
    <w:rsid w:val="56FF0A43"/>
    <w:rsid w:val="5799081B"/>
    <w:rsid w:val="57AC75B3"/>
    <w:rsid w:val="57D705F2"/>
    <w:rsid w:val="57EA4190"/>
    <w:rsid w:val="59677D4F"/>
    <w:rsid w:val="598A03E4"/>
    <w:rsid w:val="59A57A14"/>
    <w:rsid w:val="5AAF6E02"/>
    <w:rsid w:val="5AEA3AD0"/>
    <w:rsid w:val="5B1D2529"/>
    <w:rsid w:val="5B35349E"/>
    <w:rsid w:val="5B3F7D83"/>
    <w:rsid w:val="5B527398"/>
    <w:rsid w:val="5BA959B9"/>
    <w:rsid w:val="5C2447C0"/>
    <w:rsid w:val="5CC70FAC"/>
    <w:rsid w:val="5D173705"/>
    <w:rsid w:val="5D1B4B8A"/>
    <w:rsid w:val="5D915ACD"/>
    <w:rsid w:val="5E093F5D"/>
    <w:rsid w:val="5E14032D"/>
    <w:rsid w:val="5E611270"/>
    <w:rsid w:val="5EB2026E"/>
    <w:rsid w:val="5EEF2412"/>
    <w:rsid w:val="5F5D00D1"/>
    <w:rsid w:val="5FA30C9C"/>
    <w:rsid w:val="5FE13E30"/>
    <w:rsid w:val="60883A59"/>
    <w:rsid w:val="60A608A8"/>
    <w:rsid w:val="61033D16"/>
    <w:rsid w:val="623E76D0"/>
    <w:rsid w:val="625B24D7"/>
    <w:rsid w:val="62CD795C"/>
    <w:rsid w:val="6438579B"/>
    <w:rsid w:val="655749FB"/>
    <w:rsid w:val="65E5671A"/>
    <w:rsid w:val="66EA0C9A"/>
    <w:rsid w:val="66FB3BC1"/>
    <w:rsid w:val="67023348"/>
    <w:rsid w:val="6753255C"/>
    <w:rsid w:val="678F7868"/>
    <w:rsid w:val="686F59C5"/>
    <w:rsid w:val="68985C4A"/>
    <w:rsid w:val="68BB275A"/>
    <w:rsid w:val="68CD03D6"/>
    <w:rsid w:val="695E0A51"/>
    <w:rsid w:val="6AE713EB"/>
    <w:rsid w:val="6B015D37"/>
    <w:rsid w:val="6B8D7C67"/>
    <w:rsid w:val="6B9014C7"/>
    <w:rsid w:val="6BB3784E"/>
    <w:rsid w:val="6BE11085"/>
    <w:rsid w:val="6C7B13C4"/>
    <w:rsid w:val="6C7F53F5"/>
    <w:rsid w:val="6CA73029"/>
    <w:rsid w:val="6CB25A7F"/>
    <w:rsid w:val="6D027CD6"/>
    <w:rsid w:val="6DD71BCE"/>
    <w:rsid w:val="6E3164EF"/>
    <w:rsid w:val="6E487B66"/>
    <w:rsid w:val="6E550ED4"/>
    <w:rsid w:val="6EA5652C"/>
    <w:rsid w:val="6ECD772E"/>
    <w:rsid w:val="6ED71557"/>
    <w:rsid w:val="6F0C38CA"/>
    <w:rsid w:val="6F6774FE"/>
    <w:rsid w:val="70243E6C"/>
    <w:rsid w:val="706A3FF6"/>
    <w:rsid w:val="70737BDA"/>
    <w:rsid w:val="70D03715"/>
    <w:rsid w:val="70E0155E"/>
    <w:rsid w:val="711219DD"/>
    <w:rsid w:val="713C5670"/>
    <w:rsid w:val="719201E7"/>
    <w:rsid w:val="71B627D1"/>
    <w:rsid w:val="71F96DCA"/>
    <w:rsid w:val="72107C5B"/>
    <w:rsid w:val="732D2693"/>
    <w:rsid w:val="73476175"/>
    <w:rsid w:val="7357254E"/>
    <w:rsid w:val="73611393"/>
    <w:rsid w:val="7431112D"/>
    <w:rsid w:val="749D6575"/>
    <w:rsid w:val="74E60E95"/>
    <w:rsid w:val="754F1E1A"/>
    <w:rsid w:val="761859F6"/>
    <w:rsid w:val="76206BC5"/>
    <w:rsid w:val="76EB3FE1"/>
    <w:rsid w:val="770E210B"/>
    <w:rsid w:val="772D76F7"/>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93F41"/>
    <w:rsid w:val="7ADF17B7"/>
    <w:rsid w:val="7AE50BD2"/>
    <w:rsid w:val="7AEB0EA5"/>
    <w:rsid w:val="7AF9718A"/>
    <w:rsid w:val="7B0202CB"/>
    <w:rsid w:val="7B386B42"/>
    <w:rsid w:val="7B5C145D"/>
    <w:rsid w:val="7BB57665"/>
    <w:rsid w:val="7BBC102F"/>
    <w:rsid w:val="7BD509C2"/>
    <w:rsid w:val="7BDC0741"/>
    <w:rsid w:val="7C070CDC"/>
    <w:rsid w:val="7C9625E2"/>
    <w:rsid w:val="7D0716F9"/>
    <w:rsid w:val="7D2A47F3"/>
    <w:rsid w:val="7DBA6C81"/>
    <w:rsid w:val="7F3F5E8E"/>
    <w:rsid w:val="7F6E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qFormat/>
    <w:uiPriority w:val="0"/>
    <w:rPr>
      <w:rFonts w:hint="default" w:ascii="Times New Roman" w:hAnsi="Times New Roman" w:cs="Times New Roman"/>
      <w:color w:val="000000"/>
      <w:sz w:val="18"/>
      <w:szCs w:val="18"/>
      <w:u w:val="none"/>
    </w:rPr>
  </w:style>
  <w:style w:type="character" w:customStyle="1" w:styleId="29">
    <w:name w:val="font7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2021-09-10T01:26:00Z</cp:lastPrinted>
  <dcterms:modified xsi:type="dcterms:W3CDTF">2021-11-02T06:49:16Z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