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低氟化渣剂（预熔性）</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2</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LGSX</w:t>
      </w:r>
      <w:r>
        <w:rPr>
          <w:rFonts w:hint="eastAsia" w:ascii="宋体" w:hAnsi="宋体"/>
          <w:u w:val="single"/>
          <w:lang w:val="en-US" w:eastAsia="zh-CN"/>
        </w:rPr>
        <w:t>202111004DFHZJ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低氟化渣剂（预熔性）</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招标办：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炉料部：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12</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rPr>
        <w:t>提供两份及以上2019年至今（以签定合同时间为准），钢企化渣剂供货业绩</w:t>
      </w:r>
      <w:r>
        <w:rPr>
          <w:rFonts w:hint="eastAsia" w:ascii="宋体" w:hAnsi="宋体"/>
          <w:b/>
          <w:color w:val="FF0000"/>
          <w:sz w:val="24"/>
          <w:szCs w:val="24"/>
          <w:lang w:val="en-US"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本次招标招四个月的供货量，约550吨/月（该数量为理论需求数量，具体供货数量以生产单位实际用量为准，具体供货时间以商务部门通知为准）按照单吨价报价，并注明相应的供应数量。</w:t>
      </w:r>
    </w:p>
    <w:p>
      <w:pPr>
        <w:pStyle w:val="2"/>
        <w:rPr>
          <w:rFonts w:hint="default"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 xml:space="preserve"> </w:t>
      </w:r>
      <w:r>
        <w:rPr>
          <w:rFonts w:hint="eastAsia" w:ascii="宋体" w:hAnsi="宋体" w:eastAsia="宋体" w:cs="Times New Roman"/>
          <w:b/>
          <w:color w:val="FF0000"/>
          <w:kern w:val="2"/>
          <w:sz w:val="24"/>
          <w:szCs w:val="24"/>
          <w:lang w:val="en-US" w:eastAsia="zh-CN" w:bidi="ar-SA"/>
        </w:rPr>
        <w:t xml:space="preserve"> </w:t>
      </w:r>
      <w:r>
        <w:rPr>
          <w:rFonts w:hint="eastAsia" w:ascii="宋体" w:hAnsi="宋体" w:cs="Times New Roman"/>
          <w:b/>
          <w:color w:val="FF0000"/>
          <w:kern w:val="2"/>
          <w:sz w:val="24"/>
          <w:szCs w:val="24"/>
          <w:lang w:val="en-US" w:eastAsia="zh-CN" w:bidi="ar-SA"/>
        </w:rPr>
        <w:t xml:space="preserve"> </w:t>
      </w:r>
      <w:r>
        <w:rPr>
          <w:rFonts w:hint="eastAsia" w:ascii="宋体" w:hAnsi="宋体" w:eastAsia="宋体" w:cs="Times New Roman"/>
          <w:b/>
          <w:color w:val="FF0000"/>
          <w:kern w:val="2"/>
          <w:sz w:val="24"/>
          <w:szCs w:val="24"/>
          <w:lang w:val="en-US" w:eastAsia="zh-CN" w:bidi="ar-SA"/>
        </w:rPr>
        <w:t xml:space="preserve"> 4、招标合同执行周期为4个月。</w:t>
      </w: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widowControl w:val="0"/>
        <w:spacing w:line="240" w:lineRule="atLeast"/>
        <w:jc w:val="both"/>
        <w:rPr>
          <w:rFonts w:hint="eastAsia" w:ascii="宋体" w:hAnsi="宋体"/>
          <w:sz w:val="24"/>
          <w:szCs w:val="24"/>
        </w:rPr>
      </w:pPr>
    </w:p>
    <w:p>
      <w:pPr>
        <w:widowControl w:val="0"/>
        <w:spacing w:line="240" w:lineRule="atLeast"/>
        <w:jc w:val="both"/>
        <w:rPr>
          <w:rFonts w:hint="eastAsia" w:ascii="宋体" w:hAnsi="宋体"/>
          <w:sz w:val="24"/>
          <w:szCs w:val="24"/>
        </w:rPr>
      </w:pPr>
    </w:p>
    <w:p>
      <w:pPr>
        <w:widowControl w:val="0"/>
        <w:spacing w:line="240" w:lineRule="atLeast"/>
        <w:jc w:val="both"/>
        <w:rPr>
          <w:rFonts w:hint="eastAsia" w:ascii="宋体" w:hAnsi="宋体"/>
          <w:sz w:val="24"/>
          <w:szCs w:val="24"/>
        </w:rPr>
      </w:pPr>
    </w:p>
    <w:p>
      <w:pPr>
        <w:jc w:val="right"/>
        <w:rPr>
          <w:rFonts w:hint="eastAsia"/>
          <w:b w:val="0"/>
          <w:bCs/>
          <w:color w:val="auto"/>
          <w:sz w:val="28"/>
          <w:szCs w:val="28"/>
          <w:u w:val="none" w:color="auto"/>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b/>
          <w:color w:val="auto"/>
          <w:sz w:val="36"/>
          <w:szCs w:val="36"/>
          <w:u w:val="none" w:color="auto"/>
          <w:lang w:eastAsia="zh-CN"/>
        </w:rPr>
      </w:pPr>
      <w:r>
        <w:rPr>
          <w:rFonts w:hint="eastAsia"/>
          <w:b/>
          <w:color w:val="auto"/>
          <w:sz w:val="36"/>
          <w:szCs w:val="36"/>
          <w:u w:val="none" w:color="auto"/>
          <w:lang w:eastAsia="zh-CN"/>
        </w:rPr>
        <w:t>低氟化渣剂（预熔性）质量标准技术统一平台</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本标准规定了炼钢用低氟化渣剂（预熔性）的采购标准、让步接受条件及包装要求。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pt-BR" w:eastAsia="zh-CN"/>
        </w:rPr>
        <w:t>CaO、SiO2、Al2O3、TFe、</w:t>
      </w:r>
      <w:r>
        <w:rPr>
          <w:rFonts w:hint="eastAsia"/>
          <w:b w:val="0"/>
          <w:bCs/>
          <w:color w:val="auto"/>
          <w:sz w:val="24"/>
          <w:szCs w:val="24"/>
          <w:u w:val="none" w:color="auto"/>
          <w:lang w:val="en-US" w:eastAsia="zh-CN"/>
        </w:rPr>
        <w:t>Ca</w:t>
      </w:r>
      <w:r>
        <w:rPr>
          <w:rFonts w:hint="eastAsia"/>
          <w:b w:val="0"/>
          <w:bCs/>
          <w:color w:val="auto"/>
          <w:sz w:val="24"/>
          <w:szCs w:val="24"/>
          <w:u w:val="none" w:color="auto"/>
          <w:lang w:val="pt-BR" w:eastAsia="zh-CN"/>
        </w:rPr>
        <w:t>F</w:t>
      </w:r>
      <w:r>
        <w:rPr>
          <w:rFonts w:hint="eastAsia"/>
          <w:b w:val="0"/>
          <w:bCs/>
          <w:color w:val="auto"/>
          <w:sz w:val="24"/>
          <w:szCs w:val="24"/>
          <w:u w:val="none" w:color="auto"/>
          <w:lang w:val="en-US" w:eastAsia="zh-CN"/>
        </w:rPr>
        <w:t>2、MgO、</w:t>
      </w:r>
      <w:r>
        <w:rPr>
          <w:rFonts w:hint="eastAsia"/>
          <w:b w:val="0"/>
          <w:bCs/>
          <w:color w:val="auto"/>
          <w:sz w:val="24"/>
          <w:szCs w:val="24"/>
          <w:u w:val="none" w:color="auto"/>
          <w:lang w:val="pt-BR" w:eastAsia="zh-CN"/>
        </w:rPr>
        <w:t>S、P、H2O、粒度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CaO:5-20%、SiO2≤8%、Al2O3：40-55%、TFe≤1.5%、CaF2：20-40%、MgO≤3%、S≤0.15%、P≤0.06%、H2O≤1%、粒度5-40mm≥90%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b w:val="0"/>
          <w:bCs/>
          <w:color w:val="auto"/>
          <w:sz w:val="24"/>
          <w:szCs w:val="24"/>
          <w:u w:val="none" w:color="auto"/>
          <w:lang w:val="en-US" w:eastAsia="zh-CN"/>
        </w:rPr>
      </w:pPr>
      <w:r>
        <w:rPr>
          <w:rFonts w:hint="default"/>
          <w:b w:val="0"/>
          <w:bCs/>
          <w:color w:val="auto"/>
          <w:sz w:val="24"/>
          <w:szCs w:val="24"/>
          <w:u w:val="none" w:color="auto"/>
          <w:lang w:val="en-US" w:eastAsia="zh-CN"/>
        </w:rPr>
        <w:t>CaO≤</w:t>
      </w:r>
      <w:r>
        <w:rPr>
          <w:rFonts w:hint="eastAsia"/>
          <w:b w:val="0"/>
          <w:bCs/>
          <w:color w:val="auto"/>
          <w:sz w:val="24"/>
          <w:szCs w:val="24"/>
          <w:u w:val="none" w:color="auto"/>
          <w:lang w:val="en-US" w:eastAsia="zh-CN"/>
        </w:rPr>
        <w:t>22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SiO2≤</w:t>
      </w:r>
      <w:r>
        <w:rPr>
          <w:rFonts w:hint="eastAsia"/>
          <w:b w:val="0"/>
          <w:bCs/>
          <w:color w:val="auto"/>
          <w:sz w:val="24"/>
          <w:szCs w:val="24"/>
          <w:u w:val="none" w:color="auto"/>
          <w:lang w:val="en-US" w:eastAsia="zh-CN"/>
        </w:rPr>
        <w:t>10</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Al2O3</w:t>
      </w:r>
      <w:r>
        <w:rPr>
          <w:rFonts w:hint="eastAsia"/>
          <w:b w:val="0"/>
          <w:bCs/>
          <w:color w:val="auto"/>
          <w:sz w:val="24"/>
          <w:szCs w:val="24"/>
          <w:u w:val="none" w:color="auto"/>
          <w:lang w:val="en-US" w:eastAsia="zh-CN"/>
        </w:rPr>
        <w:t>≥35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TFe≤</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、Ca</w:t>
      </w:r>
      <w:r>
        <w:rPr>
          <w:rFonts w:hint="default"/>
          <w:b w:val="0"/>
          <w:bCs/>
          <w:color w:val="auto"/>
          <w:sz w:val="24"/>
          <w:szCs w:val="24"/>
          <w:u w:val="none" w:color="auto"/>
          <w:lang w:val="en-US" w:eastAsia="zh-CN"/>
        </w:rPr>
        <w:t>F</w:t>
      </w:r>
      <w:r>
        <w:rPr>
          <w:rFonts w:hint="eastAsia"/>
          <w:b w:val="0"/>
          <w:bCs/>
          <w:color w:val="auto"/>
          <w:sz w:val="24"/>
          <w:szCs w:val="24"/>
          <w:u w:val="none" w:color="auto"/>
          <w:lang w:val="en-US" w:eastAsia="zh-CN"/>
        </w:rPr>
        <w:t>2≥15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H2O≤</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w:t>
      </w:r>
      <w:r>
        <w:rPr>
          <w:rFonts w:hint="default"/>
          <w:b w:val="0"/>
          <w:bCs/>
          <w:color w:val="auto"/>
          <w:sz w:val="24"/>
          <w:szCs w:val="24"/>
          <w:u w:val="none" w:color="auto"/>
          <w:lang w:val="en-US" w:eastAsia="zh-CN"/>
        </w:rPr>
        <w:t>粒度5-</w:t>
      </w:r>
      <w:r>
        <w:rPr>
          <w:rFonts w:hint="eastAsia"/>
          <w:b w:val="0"/>
          <w:bCs/>
          <w:color w:val="auto"/>
          <w:sz w:val="24"/>
          <w:szCs w:val="24"/>
          <w:u w:val="none" w:color="auto"/>
          <w:lang w:val="en-US" w:eastAsia="zh-CN"/>
        </w:rPr>
        <w:t>4</w:t>
      </w:r>
      <w:r>
        <w:rPr>
          <w:rFonts w:hint="default"/>
          <w:b w:val="0"/>
          <w:bCs/>
          <w:color w:val="auto"/>
          <w:sz w:val="24"/>
          <w:szCs w:val="24"/>
          <w:u w:val="none" w:color="auto"/>
          <w:lang w:val="en-US" w:eastAsia="zh-CN"/>
        </w:rPr>
        <w:t>0mm≥</w:t>
      </w:r>
      <w:r>
        <w:rPr>
          <w:rFonts w:hint="eastAsia"/>
          <w:b w:val="0"/>
          <w:bCs/>
          <w:color w:val="auto"/>
          <w:sz w:val="24"/>
          <w:szCs w:val="24"/>
          <w:u w:val="none" w:color="auto"/>
          <w:lang w:val="en-US" w:eastAsia="zh-CN"/>
        </w:rPr>
        <w:t>85</w:t>
      </w:r>
      <w:r>
        <w:rPr>
          <w:rFonts w:hint="default"/>
          <w:b w:val="0"/>
          <w:bCs/>
          <w:color w:val="auto"/>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1、15%≤CaF2＜20%，每下降1%，合同价格降2%，CaF2＜15%退货，因故不能退货双倍处罚；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2、35%≤Al2O3＜40%，每下降1%，合同价格降2%，Al2O3＜35%退货，因故不能退货双倍处罚；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3、20%＜CaO≤22%，每增加1%，合同价格降2%，CaO＞22%退货，因故不能退货双倍处罚；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4、8%＜SiO2≤10%，每增加1%，合同价格降2%，SiO2＞10%退货，因故不能退货双倍处罚；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5、1.5%＜TFe</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2.0%，每超出范围0.1%，合同价格降1%，TFe＞2%退货，因故不能退货双倍处罚；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6、P≤0.06%、S≤0.15%，每超出范围0.01%，合同价格降1%；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7、粒度超标准范围扣吨位，超出让步范围退货，因故不能退货双倍处罚；粒度＞100mm，扣500元/块或退货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8、H2O超标准按照双倍扣吨位，H2O＞2%退货，因故不能退货在处罚的基础上再加双倍扣款。</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9、3%＜MgO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4%，每超出范围0.1%，合同价格降1%，MgO＞4%退货，因故不能退货双倍处罚。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3.包装要求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包装采用2层，外层为编织袋，内为塑料膜，塑料膜强度不易刺破，起到防潮作用，内膜及编织袋必须扎口。吨袋重量不得超过1.2吨；包装标识必须包含：厂家名称、重量、物料名称、生产日期。</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4.贮存</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asciiTheme="minorEastAsia" w:hAnsiTheme="minorEastAsia" w:eastAsiaTheme="minorEastAsia"/>
          <w:color w:val="000000"/>
          <w:sz w:val="28"/>
          <w:szCs w:val="28"/>
        </w:rPr>
      </w:pPr>
      <w:r>
        <w:rPr>
          <w:rFonts w:hint="eastAsia" w:cs="Times New Roman"/>
          <w:b w:val="0"/>
          <w:bCs/>
          <w:color w:val="auto"/>
          <w:sz w:val="24"/>
          <w:szCs w:val="24"/>
          <w:u w:val="none" w:color="auto"/>
          <w:lang w:val="en-US" w:eastAsia="zh-CN"/>
        </w:rPr>
        <w:t>化渣剂存放在炼钢部库房。</w:t>
      </w: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低氟化渣剂（预熔性）</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r>
              <w:rPr>
                <w:rFonts w:hint="eastAsia"/>
                <w:sz w:val="18"/>
                <w:szCs w:val="18"/>
                <w:lang w:val="en-US" w:eastAsia="zh-CN"/>
              </w:rPr>
              <w:t>/月</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低氟化渣剂（预熔性）</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约550</w:t>
            </w:r>
            <w:r>
              <w:rPr>
                <w:rFonts w:hint="eastAsia" w:ascii="宋体" w:hAnsi="宋体"/>
                <w:b/>
                <w:color w:val="FF0000"/>
                <w:sz w:val="28"/>
                <w:szCs w:val="28"/>
              </w:rPr>
              <w:t>吨</w:t>
            </w:r>
            <w:r>
              <w:rPr>
                <w:rFonts w:hint="eastAsia" w:ascii="宋体" w:hAnsi="宋体"/>
                <w:b/>
                <w:color w:val="FF0000"/>
                <w:sz w:val="28"/>
                <w:szCs w:val="28"/>
                <w:lang w:val="en-US" w:eastAsia="zh-CN"/>
              </w:rPr>
              <w:t>/月</w:t>
            </w:r>
          </w:p>
        </w:tc>
        <w:tc>
          <w:tcPr>
            <w:tcW w:w="2292" w:type="pct"/>
          </w:tcPr>
          <w:p>
            <w:pPr>
              <w:jc w:val="left"/>
              <w:rPr>
                <w:sz w:val="24"/>
                <w:szCs w:val="24"/>
              </w:rPr>
            </w:pPr>
          </w:p>
          <w:p>
            <w:pPr>
              <w:jc w:val="left"/>
              <w:rPr>
                <w:sz w:val="24"/>
                <w:szCs w:val="24"/>
              </w:rPr>
            </w:pPr>
            <w:r>
              <w:rPr>
                <w:rFonts w:hint="eastAsia"/>
                <w:sz w:val="24"/>
                <w:szCs w:val="24"/>
              </w:rPr>
              <w:t xml:space="preserve">小写：        </w:t>
            </w:r>
            <w:bookmarkStart w:id="0" w:name="_GoBack"/>
            <w:bookmarkEnd w:id="0"/>
            <w:r>
              <w:rPr>
                <w:rFonts w:hint="eastAsia"/>
                <w:sz w:val="24"/>
                <w:szCs w:val="24"/>
              </w:rPr>
              <w:t xml:space="preserve">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D030B4F"/>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8C21EF"/>
    <w:rsid w:val="379345D1"/>
    <w:rsid w:val="37974BFF"/>
    <w:rsid w:val="37BE23C2"/>
    <w:rsid w:val="37F02022"/>
    <w:rsid w:val="37F27DC4"/>
    <w:rsid w:val="37FA0AD6"/>
    <w:rsid w:val="383E2980"/>
    <w:rsid w:val="384A1E85"/>
    <w:rsid w:val="387F2F2C"/>
    <w:rsid w:val="3A3F65BD"/>
    <w:rsid w:val="3A773720"/>
    <w:rsid w:val="3AFC391A"/>
    <w:rsid w:val="3B14535E"/>
    <w:rsid w:val="3C036E6F"/>
    <w:rsid w:val="3C3E683E"/>
    <w:rsid w:val="3C456A69"/>
    <w:rsid w:val="3C487023"/>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DC66F68"/>
    <w:rsid w:val="510A2956"/>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2021-11-02T07:21:32Z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