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增碳剂</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rPr>
        <w:t>月</w:t>
      </w:r>
      <w:r>
        <w:rPr>
          <w:rFonts w:hint="eastAsia"/>
          <w:color w:val="000000"/>
          <w:sz w:val="24"/>
          <w:szCs w:val="24"/>
          <w:u w:val="single"/>
          <w:lang w:val="en-US" w:eastAsia="zh-CN"/>
        </w:rPr>
        <w:t>10</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LGSX</w:t>
      </w:r>
      <w:r>
        <w:rPr>
          <w:rFonts w:hint="eastAsia" w:ascii="宋体" w:hAnsi="宋体"/>
          <w:u w:val="single"/>
          <w:lang w:val="en-US" w:eastAsia="zh-CN"/>
        </w:rPr>
        <w:t>202111009ZTJ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增碳剂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招标办：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炉料部：     </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柯  工</w:t>
      </w:r>
      <w:r>
        <w:rPr>
          <w:rFonts w:hint="eastAsia" w:ascii="宋体" w:hAnsi="宋体" w:eastAsia="宋体" w:cs="Times New Roman"/>
          <w:kern w:val="2"/>
          <w:sz w:val="24"/>
          <w:szCs w:val="24"/>
          <w:highlight w:val="none"/>
          <w:lang w:val="en-US" w:eastAsia="zh-CN" w:bidi="ar-SA"/>
        </w:rPr>
        <w:t xml:space="preserve">    13955388390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11</w:t>
      </w:r>
      <w:r>
        <w:rPr>
          <w:rFonts w:ascii="宋体" w:hAnsi="宋体"/>
          <w:bCs/>
          <w:sz w:val="24"/>
          <w:szCs w:val="24"/>
        </w:rPr>
        <w:t>月</w:t>
      </w:r>
      <w:r>
        <w:rPr>
          <w:rFonts w:hint="eastAsia" w:ascii="宋体" w:hAnsi="宋体"/>
          <w:bCs/>
          <w:sz w:val="24"/>
          <w:szCs w:val="24"/>
          <w:u w:val="single"/>
          <w:lang w:val="en-US" w:eastAsia="zh-CN"/>
        </w:rPr>
        <w:t>17</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19</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17</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val="en-US" w:eastAsia="zh-CN"/>
        </w:rPr>
        <w:t>及附件技术要求。</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rPr>
        <w:t>提供两份及以上2019年至今</w:t>
      </w:r>
      <w:r>
        <w:rPr>
          <w:rFonts w:hint="eastAsia" w:ascii="宋体" w:hAnsi="宋体"/>
          <w:b/>
          <w:color w:val="FF0000"/>
          <w:sz w:val="24"/>
          <w:szCs w:val="24"/>
          <w:lang w:val="en-US" w:eastAsia="zh-CN"/>
        </w:rPr>
        <w:t>对</w:t>
      </w:r>
      <w:r>
        <w:rPr>
          <w:rFonts w:hint="eastAsia" w:ascii="宋体" w:hAnsi="宋体"/>
          <w:b/>
          <w:color w:val="FF0000"/>
          <w:sz w:val="24"/>
          <w:szCs w:val="24"/>
        </w:rPr>
        <w:t>钢企</w:t>
      </w:r>
      <w:r>
        <w:rPr>
          <w:rFonts w:hint="eastAsia" w:ascii="宋体" w:hAnsi="宋体"/>
          <w:b/>
          <w:color w:val="FF0000"/>
          <w:sz w:val="24"/>
          <w:szCs w:val="24"/>
          <w:lang w:val="en-US" w:eastAsia="zh-CN"/>
        </w:rPr>
        <w:t>增碳剂的</w:t>
      </w:r>
      <w:r>
        <w:rPr>
          <w:rFonts w:hint="eastAsia" w:ascii="宋体" w:hAnsi="宋体"/>
          <w:b/>
          <w:color w:val="FF0000"/>
          <w:sz w:val="24"/>
          <w:szCs w:val="24"/>
        </w:rPr>
        <w:t>供货业绩</w:t>
      </w:r>
      <w:r>
        <w:rPr>
          <w:rFonts w:hint="eastAsia" w:ascii="宋体" w:hAnsi="宋体"/>
          <w:b/>
          <w:color w:val="FF0000"/>
          <w:sz w:val="24"/>
          <w:szCs w:val="24"/>
          <w:lang w:eastAsia="zh-CN"/>
        </w:rPr>
        <w:t>（</w:t>
      </w:r>
      <w:r>
        <w:rPr>
          <w:rFonts w:hint="eastAsia" w:ascii="宋体" w:hAnsi="宋体"/>
          <w:b/>
          <w:color w:val="FF0000"/>
          <w:sz w:val="24"/>
          <w:szCs w:val="24"/>
          <w:lang w:val="en-US" w:eastAsia="zh-CN"/>
        </w:rPr>
        <w:t>附：合同+发票复印件</w:t>
      </w:r>
      <w:r>
        <w:rPr>
          <w:rFonts w:hint="eastAsia" w:ascii="宋体" w:hAnsi="宋体"/>
          <w:b/>
          <w:color w:val="FF0000"/>
          <w:sz w:val="24"/>
          <w:szCs w:val="24"/>
          <w:lang w:eastAsia="zh-CN"/>
        </w:rPr>
        <w:t>）</w:t>
      </w:r>
      <w:r>
        <w:rPr>
          <w:rFonts w:hint="eastAsia" w:ascii="宋体" w:hAnsi="宋体"/>
          <w:b/>
          <w:color w:val="FF0000"/>
          <w:sz w:val="24"/>
          <w:szCs w:val="24"/>
          <w:lang w:val="en-US" w:eastAsia="zh-CN"/>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本次招标招一个月的供货量，约600吨（该数量为理论需求数量，具体供货数量以生产单位实际用量为准，具体供货时间以商务部门通知为准）按照单吨价报价，并注明相应的供应数量。</w:t>
      </w:r>
    </w:p>
    <w:p>
      <w:pPr>
        <w:pStyle w:val="2"/>
        <w:rPr>
          <w:rFonts w:hint="default" w:ascii="宋体" w:hAnsi="宋体" w:eastAsia="宋体" w:cs="Times New Roman"/>
          <w:b/>
          <w:color w:val="FF0000"/>
          <w:kern w:val="2"/>
          <w:sz w:val="24"/>
          <w:szCs w:val="24"/>
          <w:lang w:val="en-US" w:eastAsia="zh-CN" w:bidi="ar-SA"/>
        </w:rPr>
      </w:pPr>
      <w:r>
        <w:rPr>
          <w:rFonts w:hint="eastAsia" w:ascii="宋体" w:hAnsi="宋体" w:eastAsia="宋体" w:cs="Times New Roman"/>
          <w:b/>
          <w:color w:val="FF0000"/>
          <w:kern w:val="2"/>
          <w:sz w:val="24"/>
          <w:szCs w:val="24"/>
          <w:lang w:val="en-US" w:eastAsia="zh-CN" w:bidi="ar-SA"/>
        </w:rPr>
        <w:t xml:space="preserve">  </w:t>
      </w:r>
      <w:r>
        <w:rPr>
          <w:rFonts w:hint="eastAsia" w:ascii="宋体" w:hAnsi="宋体" w:cs="Times New Roman"/>
          <w:b/>
          <w:color w:val="FF0000"/>
          <w:kern w:val="2"/>
          <w:sz w:val="24"/>
          <w:szCs w:val="24"/>
          <w:lang w:val="en-US" w:eastAsia="zh-CN" w:bidi="ar-SA"/>
        </w:rPr>
        <w:t xml:space="preserve"> </w:t>
      </w:r>
      <w:r>
        <w:rPr>
          <w:rFonts w:hint="eastAsia" w:ascii="宋体" w:hAnsi="宋体" w:eastAsia="宋体" w:cs="Times New Roman"/>
          <w:b/>
          <w:color w:val="FF0000"/>
          <w:kern w:val="2"/>
          <w:sz w:val="24"/>
          <w:szCs w:val="24"/>
          <w:lang w:val="en-US" w:eastAsia="zh-CN" w:bidi="ar-SA"/>
        </w:rPr>
        <w:t xml:space="preserve"> 4、招标合同执行周期为</w:t>
      </w:r>
      <w:r>
        <w:rPr>
          <w:rFonts w:hint="eastAsia" w:ascii="宋体" w:hAnsi="宋体" w:cs="Times New Roman"/>
          <w:b/>
          <w:color w:val="FF0000"/>
          <w:kern w:val="2"/>
          <w:sz w:val="24"/>
          <w:szCs w:val="24"/>
          <w:lang w:val="en-US" w:eastAsia="zh-CN" w:bidi="ar-SA"/>
        </w:rPr>
        <w:t>1</w:t>
      </w:r>
      <w:r>
        <w:rPr>
          <w:rFonts w:hint="eastAsia" w:ascii="宋体" w:hAnsi="宋体" w:eastAsia="宋体" w:cs="Times New Roman"/>
          <w:b/>
          <w:color w:val="FF0000"/>
          <w:kern w:val="2"/>
          <w:sz w:val="24"/>
          <w:szCs w:val="24"/>
          <w:lang w:val="en-US" w:eastAsia="zh-CN" w:bidi="ar-SA"/>
        </w:rPr>
        <w:t>个月。</w:t>
      </w:r>
    </w:p>
    <w:p>
      <w:pPr>
        <w:numPr>
          <w:ilvl w:val="0"/>
          <w:numId w:val="0"/>
        </w:numPr>
        <w:spacing w:line="360" w:lineRule="auto"/>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pStyle w:val="2"/>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w:t>
      </w:r>
    </w:p>
    <w:p>
      <w:pPr>
        <w:widowControl w:val="0"/>
        <w:spacing w:line="240" w:lineRule="atLeast"/>
        <w:jc w:val="both"/>
        <w:rPr>
          <w:rFonts w:hint="eastAsia" w:ascii="宋体" w:hAnsi="宋体"/>
          <w:sz w:val="24"/>
          <w:szCs w:val="24"/>
        </w:rPr>
      </w:pPr>
    </w:p>
    <w:p>
      <w:pPr>
        <w:jc w:val="both"/>
        <w:rPr>
          <w:rFonts w:hint="eastAsia"/>
          <w:b w:val="0"/>
          <w:bCs/>
          <w:color w:val="auto"/>
          <w:sz w:val="28"/>
          <w:szCs w:val="28"/>
          <w:u w:val="none" w:color="auto"/>
          <w:lang w:val="en-US" w:eastAsia="zh-CN"/>
        </w:rPr>
      </w:pPr>
    </w:p>
    <w:p>
      <w:pPr>
        <w:jc w:val="center"/>
        <w:rPr>
          <w:rFonts w:hint="eastAsia"/>
          <w:b/>
          <w:color w:val="auto"/>
          <w:sz w:val="36"/>
          <w:szCs w:val="36"/>
          <w:u w:val="none" w:color="auto"/>
          <w:lang w:eastAsia="zh-CN"/>
        </w:rPr>
      </w:pPr>
      <w:r>
        <w:rPr>
          <w:rFonts w:hint="eastAsia"/>
          <w:b/>
          <w:color w:val="auto"/>
          <w:sz w:val="36"/>
          <w:szCs w:val="36"/>
          <w:u w:val="none" w:color="auto"/>
        </w:rPr>
        <w:t>增碳剂</w:t>
      </w:r>
      <w:r>
        <w:rPr>
          <w:rFonts w:hint="eastAsia"/>
          <w:b/>
          <w:color w:val="auto"/>
          <w:sz w:val="36"/>
          <w:szCs w:val="36"/>
          <w:u w:val="none" w:color="auto"/>
          <w:lang w:val="en-US" w:eastAsia="zh-CN"/>
        </w:rPr>
        <w:t>质</w:t>
      </w:r>
      <w:r>
        <w:rPr>
          <w:rFonts w:hint="eastAsia"/>
          <w:b/>
          <w:color w:val="auto"/>
          <w:sz w:val="36"/>
          <w:szCs w:val="36"/>
          <w:u w:val="none" w:color="auto"/>
          <w:lang w:eastAsia="zh-CN"/>
        </w:rPr>
        <w:t>量标准技术统一平台</w:t>
      </w:r>
    </w:p>
    <w:p>
      <w:pPr>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1.范围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本标准规定了炼钢增碳剂的采购标准、让步接受条件、不合格处理及送货要求。</w:t>
      </w:r>
    </w:p>
    <w:p>
      <w:pPr>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2.技术要求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2.1检验项目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FC%；St.d%；H2O%；粒度</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2.2检验标准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FC≥90%；St.d≤0.5%；水份≤0.5%；粒度:0.5～7mm；小于0.5mm的比例≤10%；大于7mm的比例≤5%</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2.3让步接受</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FC≥88%；St.d≤0.6%；H2O%≤0.7%；粒度：小于0.5mm的比例≤15%；大于7mm的比例≤10%</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2.4不合格处理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1、FC：89%≤C＜90%每下降0.1%，合同价格降0.5%;88%≤C＜89%间，每下降0.1%，合同价格降1%；超出让步范围原则上退货或在原处罚基础上双倍扣罚。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2、St.d超出标准在让步接收范围内，每上升0.01%,合同价格降0.05%；超出让步范围原则上退货或在原处罚基础上双倍扣罚。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3、0.5%＜H2O≤0.7%，每增加0.1%，合同价格降2%，H2O＞0.7%，作退货处理；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4、粒度超出标准在让步接收范围内，超出部分扣吨位结算；超出让步范围原则上退货或在原处罚基础上双倍扣罚。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3.其他要求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default" w:eastAsia="宋体"/>
          <w:b w:val="0"/>
          <w:bCs/>
          <w:color w:val="auto"/>
          <w:sz w:val="24"/>
          <w:szCs w:val="24"/>
          <w:u w:val="none" w:color="auto"/>
          <w:lang w:val="en-US" w:eastAsia="zh-CN"/>
        </w:rPr>
      </w:pPr>
      <w:r>
        <w:rPr>
          <w:rFonts w:hint="eastAsia"/>
          <w:b w:val="0"/>
          <w:bCs/>
          <w:color w:val="auto"/>
          <w:sz w:val="24"/>
          <w:szCs w:val="24"/>
          <w:u w:val="none" w:color="auto"/>
          <w:lang w:val="en-US" w:eastAsia="zh-CN"/>
        </w:rPr>
        <w:t>3.1</w:t>
      </w:r>
      <w:r>
        <w:rPr>
          <w:rFonts w:hint="default"/>
          <w:b w:val="0"/>
          <w:bCs/>
          <w:color w:val="auto"/>
          <w:sz w:val="24"/>
          <w:szCs w:val="24"/>
          <w:u w:val="none" w:color="auto"/>
          <w:lang w:val="en-US" w:eastAsia="zh-CN"/>
        </w:rPr>
        <w:t>包装要求</w:t>
      </w:r>
      <w:r>
        <w:rPr>
          <w:rFonts w:hint="eastAsia"/>
          <w:b w:val="0"/>
          <w:bCs/>
          <w:color w:val="auto"/>
          <w:sz w:val="24"/>
          <w:szCs w:val="24"/>
          <w:u w:val="none" w:color="auto"/>
          <w:lang w:val="en-US" w:eastAsia="zh-CN"/>
        </w:rPr>
        <w:t>分两种</w:t>
      </w:r>
      <w:r>
        <w:rPr>
          <w:rFonts w:hint="default"/>
          <w:b w:val="0"/>
          <w:bCs/>
          <w:color w:val="auto"/>
          <w:sz w:val="24"/>
          <w:szCs w:val="24"/>
          <w:u w:val="none" w:color="auto"/>
          <w:lang w:val="en-US" w:eastAsia="zh-CN"/>
        </w:rPr>
        <w:t>：</w:t>
      </w:r>
      <w:r>
        <w:rPr>
          <w:rFonts w:hint="default"/>
          <w:b w:val="0"/>
          <w:bCs/>
          <w:color w:val="auto"/>
          <w:sz w:val="24"/>
          <w:szCs w:val="24"/>
          <w:u w:val="none" w:color="auto"/>
          <w:lang w:val="en-US" w:eastAsia="zh-CN"/>
        </w:rPr>
        <w:sym w:font="Wingdings" w:char="F081"/>
      </w:r>
      <w:r>
        <w:rPr>
          <w:rFonts w:hint="eastAsia"/>
          <w:b w:val="0"/>
          <w:bCs/>
          <w:color w:val="auto"/>
          <w:sz w:val="24"/>
          <w:szCs w:val="24"/>
          <w:u w:val="none" w:color="auto"/>
          <w:lang w:val="en-US" w:eastAsia="zh-CN"/>
        </w:rPr>
        <w:t>内小袋重量</w:t>
      </w:r>
      <w:r>
        <w:rPr>
          <w:rFonts w:hint="default"/>
          <w:b w:val="0"/>
          <w:bCs/>
          <w:color w:val="auto"/>
          <w:sz w:val="24"/>
          <w:szCs w:val="24"/>
          <w:u w:val="none" w:color="auto"/>
          <w:lang w:val="en-US" w:eastAsia="zh-CN"/>
        </w:rPr>
        <w:t>15±0.2KG。四层包装，</w:t>
      </w:r>
      <w:r>
        <w:rPr>
          <w:rFonts w:hint="eastAsia"/>
          <w:b w:val="0"/>
          <w:bCs/>
          <w:color w:val="auto"/>
          <w:sz w:val="24"/>
          <w:szCs w:val="24"/>
          <w:u w:val="none" w:color="auto"/>
          <w:lang w:val="en-US" w:eastAsia="zh-CN"/>
        </w:rPr>
        <w:t>做好防潮措施，吨袋包装外层和小袋包装外层为编织袋，吨袋包装内层和小袋包装内层为厚塑料袋。塑料袋具有一定强度，保证质量，不易刺破，起到防潮效果，吨袋内膜必须扎口。吨袋</w:t>
      </w:r>
      <w:r>
        <w:rPr>
          <w:rFonts w:hint="default"/>
          <w:b w:val="0"/>
          <w:bCs/>
          <w:color w:val="auto"/>
          <w:sz w:val="24"/>
          <w:szCs w:val="24"/>
          <w:u w:val="none" w:color="auto"/>
          <w:lang w:val="en-US" w:eastAsia="zh-CN"/>
        </w:rPr>
        <w:t>包装袋上必须注明物资名称、生产厂家、包装重量</w:t>
      </w:r>
      <w:r>
        <w:rPr>
          <w:rFonts w:hint="eastAsia"/>
          <w:b w:val="0"/>
          <w:bCs/>
          <w:color w:val="auto"/>
          <w:sz w:val="24"/>
          <w:szCs w:val="24"/>
          <w:u w:val="none" w:color="auto"/>
          <w:lang w:val="en-US" w:eastAsia="zh-CN"/>
        </w:rPr>
        <w:t>、生产日期</w:t>
      </w:r>
      <w:r>
        <w:rPr>
          <w:rFonts w:hint="default"/>
          <w:b w:val="0"/>
          <w:bCs/>
          <w:color w:val="auto"/>
          <w:sz w:val="24"/>
          <w:szCs w:val="24"/>
          <w:u w:val="none" w:color="auto"/>
          <w:lang w:val="en-US" w:eastAsia="zh-CN"/>
        </w:rPr>
        <w:t>等信息</w:t>
      </w:r>
      <w:r>
        <w:rPr>
          <w:rFonts w:hint="eastAsia"/>
          <w:b w:val="0"/>
          <w:bCs/>
          <w:color w:val="auto"/>
          <w:sz w:val="24"/>
          <w:szCs w:val="24"/>
          <w:u w:val="none" w:color="auto"/>
          <w:lang w:val="en-US" w:eastAsia="zh-CN"/>
        </w:rPr>
        <w:t>，小包装袋上必须注明物资名称、重量等信息。</w:t>
      </w:r>
      <w:r>
        <w:rPr>
          <w:rFonts w:hint="eastAsia"/>
          <w:b w:val="0"/>
          <w:bCs/>
          <w:color w:val="auto"/>
          <w:sz w:val="24"/>
          <w:szCs w:val="24"/>
          <w:u w:val="none" w:color="auto"/>
          <w:lang w:val="en-US" w:eastAsia="zh-CN"/>
        </w:rPr>
        <w:sym w:font="Wingdings" w:char="F082"/>
      </w:r>
      <w:r>
        <w:rPr>
          <w:rFonts w:hint="eastAsia"/>
          <w:b w:val="0"/>
          <w:bCs/>
          <w:color w:val="auto"/>
          <w:sz w:val="24"/>
          <w:szCs w:val="24"/>
          <w:u w:val="none" w:color="auto"/>
          <w:lang w:val="en-US" w:eastAsia="zh-CN"/>
        </w:rPr>
        <w:t>内不含小袋，</w:t>
      </w:r>
      <w:r>
        <w:rPr>
          <w:rFonts w:hint="eastAsia" w:ascii="新宋体" w:hAnsi="新宋体" w:eastAsia="新宋体" w:cs="新宋体"/>
          <w:sz w:val="24"/>
          <w:szCs w:val="24"/>
          <w:lang w:val="en-US" w:eastAsia="zh-CN"/>
        </w:rPr>
        <w:t>包装采用2层，外层为编织袋，内为塑料膜，塑料膜强度不易刺破，起到防潮作用；或可采用编制袋覆膜。要求内膜口和编织袋口缝在一起或粘在一起，保证底部破袋时内膜不随增碳剂掉落。</w:t>
      </w:r>
      <w:r>
        <w:rPr>
          <w:rFonts w:hint="eastAsia"/>
          <w:b w:val="0"/>
          <w:bCs/>
          <w:color w:val="auto"/>
          <w:sz w:val="24"/>
          <w:szCs w:val="24"/>
          <w:u w:val="none" w:color="auto"/>
          <w:lang w:val="en-US" w:eastAsia="zh-CN"/>
        </w:rPr>
        <w:t>包装不符合要求的按200元/袋落实考核。</w:t>
      </w:r>
      <w:r>
        <w:rPr>
          <w:rFonts w:hint="eastAsia"/>
          <w:b w:val="0"/>
          <w:bCs/>
          <w:color w:val="FF0000"/>
          <w:sz w:val="24"/>
          <w:szCs w:val="24"/>
          <w:u w:val="none" w:color="auto"/>
          <w:lang w:val="en-US" w:eastAsia="zh-CN"/>
        </w:rPr>
        <w:t>小袋重量抽检不满足</w:t>
      </w:r>
      <w:r>
        <w:rPr>
          <w:rFonts w:hint="default"/>
          <w:b w:val="0"/>
          <w:bCs/>
          <w:color w:val="FF0000"/>
          <w:sz w:val="24"/>
          <w:szCs w:val="24"/>
          <w:u w:val="none" w:color="auto"/>
          <w:lang w:val="en-US" w:eastAsia="zh-CN"/>
        </w:rPr>
        <w:t>15±0.2KG</w:t>
      </w:r>
      <w:r>
        <w:rPr>
          <w:rFonts w:hint="eastAsia"/>
          <w:b w:val="0"/>
          <w:bCs/>
          <w:color w:val="FF0000"/>
          <w:sz w:val="24"/>
          <w:szCs w:val="24"/>
          <w:u w:val="none" w:color="auto"/>
          <w:lang w:val="en-US" w:eastAsia="zh-CN"/>
        </w:rPr>
        <w:t>，退货处理并考核该批增碳剂结算款5%，因故不能退货的翻倍考核。</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3.2</w:t>
      </w:r>
      <w:r>
        <w:rPr>
          <w:rFonts w:hint="default"/>
          <w:b w:val="0"/>
          <w:bCs/>
          <w:color w:val="auto"/>
          <w:sz w:val="24"/>
          <w:szCs w:val="24"/>
          <w:u w:val="none" w:color="auto"/>
          <w:lang w:val="en-US" w:eastAsia="zh-CN"/>
        </w:rPr>
        <w:t>如包装重量发生变化，提前通知供货厂家并进行调整。大袋包装重量为</w:t>
      </w:r>
      <w:r>
        <w:rPr>
          <w:rFonts w:hint="eastAsia"/>
          <w:b w:val="0"/>
          <w:bCs/>
          <w:color w:val="auto"/>
          <w:sz w:val="24"/>
          <w:szCs w:val="24"/>
          <w:u w:val="none" w:color="auto"/>
          <w:lang w:val="en-US" w:eastAsia="zh-CN"/>
        </w:rPr>
        <w:t>100</w:t>
      </w:r>
      <w:r>
        <w:rPr>
          <w:rFonts w:hint="default"/>
          <w:b w:val="0"/>
          <w:bCs/>
          <w:color w:val="auto"/>
          <w:sz w:val="24"/>
          <w:szCs w:val="24"/>
          <w:u w:val="none" w:color="auto"/>
          <w:lang w:val="en-US" w:eastAsia="zh-CN"/>
        </w:rPr>
        <w:t>0公斤包装。</w:t>
      </w:r>
      <w:r>
        <w:rPr>
          <w:rFonts w:hint="eastAsia"/>
          <w:b w:val="0"/>
          <w:bCs/>
          <w:color w:val="auto"/>
          <w:sz w:val="24"/>
          <w:szCs w:val="24"/>
          <w:u w:val="none" w:color="auto"/>
          <w:lang w:val="en-US" w:eastAsia="zh-CN"/>
        </w:rPr>
        <w:t>包装袋供方不回收。</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default" w:ascii="Times New Roman" w:hAnsi="Times New Roman" w:cs="Times New Roman"/>
          <w:b w:val="0"/>
          <w:bCs/>
          <w:color w:val="auto"/>
          <w:sz w:val="24"/>
          <w:szCs w:val="24"/>
          <w:u w:val="none" w:color="auto"/>
        </w:rPr>
      </w:pPr>
      <w:r>
        <w:rPr>
          <w:rFonts w:hint="eastAsia"/>
          <w:b w:val="0"/>
          <w:bCs/>
          <w:color w:val="auto"/>
          <w:sz w:val="24"/>
          <w:szCs w:val="24"/>
          <w:u w:val="none" w:color="auto"/>
          <w:lang w:val="en-US" w:eastAsia="zh-CN"/>
        </w:rPr>
        <w:t>3.3</w:t>
      </w:r>
      <w:r>
        <w:rPr>
          <w:rFonts w:hint="default" w:ascii="Times New Roman" w:hAnsi="Times New Roman" w:cs="Times New Roman"/>
          <w:b w:val="0"/>
          <w:bCs/>
          <w:color w:val="auto"/>
          <w:sz w:val="24"/>
          <w:szCs w:val="24"/>
          <w:u w:val="none" w:color="auto"/>
        </w:rPr>
        <w:t>包装吨袋质量必须保证，如果因为吨袋质量问题导致在卸货过程中出现漏料、撒料的情况，全部责任由供方承担。</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cs="Times New Roman"/>
          <w:b w:val="0"/>
          <w:bCs/>
          <w:color w:val="auto"/>
          <w:sz w:val="24"/>
          <w:szCs w:val="24"/>
          <w:u w:val="none" w:color="auto"/>
          <w:lang w:val="en-US" w:eastAsia="zh-CN"/>
        </w:rPr>
        <w:t>3.4、按我方</w:t>
      </w:r>
      <w:r>
        <w:rPr>
          <w:rFonts w:hint="eastAsia"/>
          <w:b w:val="0"/>
          <w:bCs/>
          <w:color w:val="auto"/>
          <w:sz w:val="24"/>
          <w:szCs w:val="24"/>
          <w:u w:val="none" w:color="auto"/>
          <w:lang w:val="en-US" w:eastAsia="zh-CN"/>
        </w:rPr>
        <w:t>包装要求发货。</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b w:val="0"/>
          <w:bCs/>
          <w:color w:val="auto"/>
          <w:sz w:val="24"/>
          <w:szCs w:val="24"/>
          <w:u w:val="none" w:color="auto"/>
          <w:lang w:val="en-US" w:eastAsia="zh-CN"/>
        </w:rPr>
      </w:pPr>
      <w:r>
        <w:rPr>
          <w:rFonts w:hint="eastAsia"/>
          <w:b/>
          <w:bCs w:val="0"/>
          <w:color w:val="auto"/>
          <w:sz w:val="24"/>
          <w:szCs w:val="24"/>
          <w:u w:val="none" w:color="auto"/>
          <w:lang w:val="en-US" w:eastAsia="zh-CN"/>
        </w:rPr>
        <w:t>4.送货要求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进厂卸货服从我方管理。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cs="Times New Roman"/>
          <w:b/>
          <w:bCs w:val="0"/>
          <w:color w:val="auto"/>
          <w:sz w:val="24"/>
          <w:szCs w:val="24"/>
          <w:u w:val="none" w:color="auto"/>
          <w:lang w:val="en-US" w:eastAsia="zh-CN"/>
        </w:rPr>
      </w:pPr>
      <w:r>
        <w:rPr>
          <w:rFonts w:hint="eastAsia" w:cs="Times New Roman"/>
          <w:b/>
          <w:bCs w:val="0"/>
          <w:color w:val="auto"/>
          <w:sz w:val="24"/>
          <w:szCs w:val="24"/>
          <w:u w:val="none" w:color="auto"/>
          <w:lang w:val="en-US" w:eastAsia="zh-CN"/>
        </w:rPr>
        <w:t>5.卸货地点</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r>
        <w:rPr>
          <w:rFonts w:hint="eastAsia" w:cs="Times New Roman"/>
          <w:b w:val="0"/>
          <w:bCs/>
          <w:color w:val="auto"/>
          <w:sz w:val="24"/>
          <w:szCs w:val="24"/>
          <w:u w:val="none" w:color="auto"/>
          <w:lang w:val="en-US" w:eastAsia="zh-CN"/>
        </w:rPr>
        <w:t>增碳剂卸至公司合金库房。</w:t>
      </w:r>
    </w:p>
    <w:p>
      <w:pPr>
        <w:widowControl w:val="0"/>
        <w:spacing w:line="360" w:lineRule="auto"/>
        <w:jc w:val="both"/>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br w:type="textWrapping"/>
      </w:r>
      <w:bookmarkStart w:id="0" w:name="_GoBack"/>
      <w:bookmarkEnd w:id="0"/>
    </w:p>
    <w:p>
      <w:pPr>
        <w:widowControl w:val="0"/>
        <w:spacing w:line="360" w:lineRule="auto"/>
        <w:jc w:val="both"/>
        <w:rPr>
          <w:rFonts w:hint="eastAsia" w:asciiTheme="minorEastAsia" w:hAnsiTheme="minorEastAsia" w:eastAsiaTheme="minorEastAsia"/>
          <w:color w:val="000000"/>
          <w:sz w:val="28"/>
          <w:szCs w:val="28"/>
        </w:rPr>
      </w:pPr>
    </w:p>
    <w:p>
      <w:pPr>
        <w:widowControl w:val="0"/>
        <w:spacing w:line="360" w:lineRule="auto"/>
        <w:jc w:val="both"/>
        <w:rPr>
          <w:rFonts w:hint="eastAsia" w:asciiTheme="minorEastAsia" w:hAnsiTheme="minorEastAsia" w:eastAsiaTheme="minorEastAsia"/>
          <w:color w:val="000000"/>
          <w:sz w:val="28"/>
          <w:szCs w:val="28"/>
        </w:rPr>
      </w:pPr>
    </w:p>
    <w:p>
      <w:pPr>
        <w:widowControl w:val="0"/>
        <w:spacing w:line="360" w:lineRule="auto"/>
        <w:jc w:val="both"/>
        <w:rPr>
          <w:rFonts w:hint="eastAsia" w:asciiTheme="minorEastAsia" w:hAnsiTheme="minorEastAsia" w:eastAsiaTheme="minorEastAsia"/>
          <w:color w:val="000000"/>
          <w:sz w:val="28"/>
          <w:szCs w:val="28"/>
        </w:rPr>
      </w:pPr>
      <w:r>
        <w:rPr>
          <w:b/>
        </w:rPr>
        <mc:AlternateContent>
          <mc:Choice Requires="wps">
            <w:drawing>
              <wp:anchor distT="0" distB="0" distL="114300" distR="114300" simplePos="0" relativeHeight="251660288" behindDoc="0" locked="0" layoutInCell="1" allowOverlap="1">
                <wp:simplePos x="0" y="0"/>
                <wp:positionH relativeFrom="column">
                  <wp:posOffset>5678805</wp:posOffset>
                </wp:positionH>
                <wp:positionV relativeFrom="paragraph">
                  <wp:posOffset>195580</wp:posOffset>
                </wp:positionV>
                <wp:extent cx="1028700" cy="891540"/>
                <wp:effectExtent l="158115" t="205105" r="165735" b="217805"/>
                <wp:wrapNone/>
                <wp:docPr id="3" name="文本框 2"/>
                <wp:cNvGraphicFramePr/>
                <a:graphic xmlns:a="http://schemas.openxmlformats.org/drawingml/2006/main">
                  <a:graphicData uri="http://schemas.microsoft.com/office/word/2010/wordprocessingShape">
                    <wps:wsp>
                      <wps:cNvSpPr txBox="1"/>
                      <wps:spPr>
                        <a:xfrm rot="1920000">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447.15pt;margin-top:15.4pt;height:70.2pt;width:81pt;rotation:2097152f;z-index:251660288;mso-width-relative:page;mso-height-relative:page;" fillcolor="#FFFFFF" filled="t" stroked="f" coordsize="21600,21600" o:gfxdata="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iDlVG3AAAAAsBAAAPAAAAAAAAAAEAIAAAACIA&#10;AABkcnMvZG93bnJldi54bWxQSwECFAAUAAAACACHTuJAH40aw8wBAACFAwAADgAAAAAAAAABACAA&#10;AAArAQAAZHJzL2Uyb0RvYy54bWxQSwUGAAAAAAYABgBZAQAAaQUAAAAA&#10;">
                <v:fill on="t" focussize="0,0"/>
                <v:stroke on="f"/>
                <v:imagedata o:title=""/>
                <o:lock v:ext="edit" aspectratio="f"/>
                <v:textbox>
                  <w:txbxContent>
                    <w:p/>
                  </w:txbxContent>
                </v:textbox>
              </v:shape>
            </w:pict>
          </mc:Fallback>
        </mc:AlternateContent>
      </w: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增碳剂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pStyle w:val="2"/>
        <w:rPr>
          <w:rFonts w:hint="eastAsia" w:ascii="宋体" w:hAnsi="宋体" w:cs="宋体"/>
          <w:b/>
          <w:bCs/>
          <w:color w:val="FF0000"/>
          <w:kern w:val="0"/>
          <w:sz w:val="24"/>
          <w:szCs w:val="24"/>
        </w:rPr>
      </w:pPr>
    </w:p>
    <w:p>
      <w:pPr>
        <w:rPr>
          <w:rFonts w:hint="eastAsia" w:ascii="宋体" w:hAnsi="宋体" w:cs="宋体"/>
          <w:b/>
          <w:bCs/>
          <w:color w:val="FF0000"/>
          <w:kern w:val="0"/>
          <w:sz w:val="24"/>
          <w:szCs w:val="24"/>
        </w:rPr>
      </w:pP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08"/>
        <w:gridCol w:w="1237"/>
        <w:gridCol w:w="4225"/>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2" w:type="pct"/>
            <w:vAlign w:val="center"/>
          </w:tcPr>
          <w:p>
            <w:pPr>
              <w:jc w:val="center"/>
              <w:rPr>
                <w:sz w:val="18"/>
                <w:szCs w:val="18"/>
              </w:rPr>
            </w:pPr>
            <w:r>
              <w:rPr>
                <w:rFonts w:hint="eastAsia"/>
                <w:sz w:val="18"/>
                <w:szCs w:val="18"/>
              </w:rPr>
              <w:t>序号</w:t>
            </w:r>
          </w:p>
        </w:tc>
        <w:tc>
          <w:tcPr>
            <w:tcW w:w="764" w:type="pct"/>
            <w:vAlign w:val="center"/>
          </w:tcPr>
          <w:p>
            <w:pPr>
              <w:jc w:val="center"/>
              <w:rPr>
                <w:sz w:val="18"/>
                <w:szCs w:val="18"/>
              </w:rPr>
            </w:pPr>
            <w:r>
              <w:rPr>
                <w:rFonts w:hint="eastAsia"/>
                <w:sz w:val="18"/>
                <w:szCs w:val="18"/>
              </w:rPr>
              <w:t>物资名称</w:t>
            </w:r>
          </w:p>
        </w:tc>
        <w:tc>
          <w:tcPr>
            <w:tcW w:w="671" w:type="pct"/>
            <w:vAlign w:val="center"/>
          </w:tcPr>
          <w:p>
            <w:pPr>
              <w:jc w:val="center"/>
              <w:rPr>
                <w:sz w:val="18"/>
                <w:szCs w:val="18"/>
              </w:rPr>
            </w:pPr>
            <w:r>
              <w:rPr>
                <w:rFonts w:hint="eastAsia"/>
                <w:sz w:val="18"/>
                <w:szCs w:val="18"/>
              </w:rPr>
              <w:t>理论要求数量</w:t>
            </w:r>
          </w:p>
        </w:tc>
        <w:tc>
          <w:tcPr>
            <w:tcW w:w="2292" w:type="pct"/>
            <w:vAlign w:val="center"/>
          </w:tcPr>
          <w:p>
            <w:pPr>
              <w:jc w:val="center"/>
              <w:rPr>
                <w:sz w:val="18"/>
                <w:szCs w:val="18"/>
              </w:rPr>
            </w:pPr>
            <w:r>
              <w:rPr>
                <w:rFonts w:hint="eastAsia"/>
                <w:sz w:val="18"/>
                <w:szCs w:val="18"/>
              </w:rPr>
              <w:t>含税、含运费报价（元/吨）</w:t>
            </w:r>
          </w:p>
        </w:tc>
        <w:tc>
          <w:tcPr>
            <w:tcW w:w="889"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2" w:type="pct"/>
            <w:vMerge w:val="restart"/>
            <w:vAlign w:val="center"/>
          </w:tcPr>
          <w:p>
            <w:pPr>
              <w:jc w:val="center"/>
              <w:rPr>
                <w:sz w:val="24"/>
                <w:szCs w:val="24"/>
              </w:rPr>
            </w:pPr>
            <w:r>
              <w:rPr>
                <w:rFonts w:hint="eastAsia"/>
                <w:sz w:val="24"/>
                <w:szCs w:val="24"/>
              </w:rPr>
              <w:t>1</w:t>
            </w:r>
          </w:p>
        </w:tc>
        <w:tc>
          <w:tcPr>
            <w:tcW w:w="764"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增碳剂</w:t>
            </w:r>
          </w:p>
        </w:tc>
        <w:tc>
          <w:tcPr>
            <w:tcW w:w="671" w:type="pct"/>
            <w:vMerge w:val="restart"/>
            <w:vAlign w:val="center"/>
          </w:tcPr>
          <w:p>
            <w:pPr>
              <w:jc w:val="center"/>
              <w:rPr>
                <w:rFonts w:hint="default" w:eastAsia="宋体"/>
                <w:sz w:val="24"/>
                <w:szCs w:val="24"/>
                <w:lang w:val="en-US" w:eastAsia="zh-CN"/>
              </w:rPr>
            </w:pPr>
            <w:r>
              <w:rPr>
                <w:rFonts w:hint="eastAsia" w:ascii="宋体" w:hAnsi="宋体"/>
                <w:b/>
                <w:color w:val="FF0000"/>
                <w:sz w:val="28"/>
                <w:szCs w:val="28"/>
                <w:lang w:val="en-US" w:eastAsia="zh-CN"/>
              </w:rPr>
              <w:t>600吨</w:t>
            </w:r>
          </w:p>
        </w:tc>
        <w:tc>
          <w:tcPr>
            <w:tcW w:w="229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889"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2" w:type="pct"/>
            <w:vMerge w:val="continue"/>
            <w:vAlign w:val="center"/>
          </w:tcPr>
          <w:p>
            <w:pPr>
              <w:jc w:val="center"/>
              <w:rPr>
                <w:sz w:val="24"/>
                <w:szCs w:val="24"/>
              </w:rPr>
            </w:pPr>
          </w:p>
        </w:tc>
        <w:tc>
          <w:tcPr>
            <w:tcW w:w="764" w:type="pct"/>
            <w:vMerge w:val="continue"/>
            <w:vAlign w:val="center"/>
          </w:tcPr>
          <w:p>
            <w:pPr>
              <w:jc w:val="center"/>
              <w:rPr>
                <w:rFonts w:ascii="宋体" w:hAnsi="宋体"/>
                <w:b/>
                <w:color w:val="000000"/>
                <w:sz w:val="24"/>
                <w:szCs w:val="24"/>
              </w:rPr>
            </w:pPr>
          </w:p>
        </w:tc>
        <w:tc>
          <w:tcPr>
            <w:tcW w:w="671" w:type="pct"/>
            <w:vMerge w:val="continue"/>
            <w:vAlign w:val="center"/>
          </w:tcPr>
          <w:p>
            <w:pPr>
              <w:jc w:val="center"/>
              <w:rPr>
                <w:sz w:val="24"/>
                <w:szCs w:val="24"/>
              </w:rPr>
            </w:pPr>
          </w:p>
        </w:tc>
        <w:tc>
          <w:tcPr>
            <w:tcW w:w="229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889"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E4E53"/>
    <w:rsid w:val="06CB7169"/>
    <w:rsid w:val="07BA48CA"/>
    <w:rsid w:val="0831406E"/>
    <w:rsid w:val="083A4C2B"/>
    <w:rsid w:val="085B58B3"/>
    <w:rsid w:val="08A96692"/>
    <w:rsid w:val="090F2391"/>
    <w:rsid w:val="097B7AE5"/>
    <w:rsid w:val="0A7646D9"/>
    <w:rsid w:val="0AF63A42"/>
    <w:rsid w:val="0B5E1A54"/>
    <w:rsid w:val="0BFF25BD"/>
    <w:rsid w:val="0CBC295F"/>
    <w:rsid w:val="0D2F279C"/>
    <w:rsid w:val="0DF07D84"/>
    <w:rsid w:val="0E497616"/>
    <w:rsid w:val="0E842CB1"/>
    <w:rsid w:val="0F0803D8"/>
    <w:rsid w:val="0F347211"/>
    <w:rsid w:val="10031B51"/>
    <w:rsid w:val="10094A89"/>
    <w:rsid w:val="10CA64E1"/>
    <w:rsid w:val="110928F7"/>
    <w:rsid w:val="11654D47"/>
    <w:rsid w:val="11BA6270"/>
    <w:rsid w:val="135C10D5"/>
    <w:rsid w:val="139F3DA1"/>
    <w:rsid w:val="13D576D7"/>
    <w:rsid w:val="14772C2B"/>
    <w:rsid w:val="14881933"/>
    <w:rsid w:val="14F3071A"/>
    <w:rsid w:val="154D48F1"/>
    <w:rsid w:val="158A4695"/>
    <w:rsid w:val="16541AFE"/>
    <w:rsid w:val="1694444C"/>
    <w:rsid w:val="17131114"/>
    <w:rsid w:val="1724223F"/>
    <w:rsid w:val="17F97F08"/>
    <w:rsid w:val="18560C92"/>
    <w:rsid w:val="18ED4DB4"/>
    <w:rsid w:val="190E09F1"/>
    <w:rsid w:val="19B16948"/>
    <w:rsid w:val="1A8A6D05"/>
    <w:rsid w:val="1AA53F86"/>
    <w:rsid w:val="1B846959"/>
    <w:rsid w:val="1B912201"/>
    <w:rsid w:val="1BB65A49"/>
    <w:rsid w:val="1C430554"/>
    <w:rsid w:val="1CCB1E53"/>
    <w:rsid w:val="1D2E11E1"/>
    <w:rsid w:val="1E8C7D42"/>
    <w:rsid w:val="1E8E57E6"/>
    <w:rsid w:val="1E937D02"/>
    <w:rsid w:val="1F0727C6"/>
    <w:rsid w:val="1F0B69B1"/>
    <w:rsid w:val="1F107E3E"/>
    <w:rsid w:val="1F4242F7"/>
    <w:rsid w:val="1F802445"/>
    <w:rsid w:val="1FF51B5E"/>
    <w:rsid w:val="202B640C"/>
    <w:rsid w:val="205026F2"/>
    <w:rsid w:val="205B3F9B"/>
    <w:rsid w:val="20AF2F52"/>
    <w:rsid w:val="21133B37"/>
    <w:rsid w:val="21534F77"/>
    <w:rsid w:val="21A2160C"/>
    <w:rsid w:val="21E966E6"/>
    <w:rsid w:val="224B04E8"/>
    <w:rsid w:val="22B96773"/>
    <w:rsid w:val="22E00851"/>
    <w:rsid w:val="235C23EB"/>
    <w:rsid w:val="23CB766B"/>
    <w:rsid w:val="23CE57C2"/>
    <w:rsid w:val="23D22DCD"/>
    <w:rsid w:val="246A25A2"/>
    <w:rsid w:val="25206CD2"/>
    <w:rsid w:val="25230E4D"/>
    <w:rsid w:val="25466F1F"/>
    <w:rsid w:val="258E0AE8"/>
    <w:rsid w:val="25B129B0"/>
    <w:rsid w:val="268D7081"/>
    <w:rsid w:val="26F50CB1"/>
    <w:rsid w:val="26F906B4"/>
    <w:rsid w:val="278055FF"/>
    <w:rsid w:val="288D3DC5"/>
    <w:rsid w:val="28B030F4"/>
    <w:rsid w:val="28E2171B"/>
    <w:rsid w:val="29401D6D"/>
    <w:rsid w:val="2B8C5436"/>
    <w:rsid w:val="2BBB5AD5"/>
    <w:rsid w:val="2BF10F3E"/>
    <w:rsid w:val="2BF40243"/>
    <w:rsid w:val="2BFD06EE"/>
    <w:rsid w:val="2C204052"/>
    <w:rsid w:val="2C4E01C4"/>
    <w:rsid w:val="2CF31D5E"/>
    <w:rsid w:val="2D030B4F"/>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42060A8"/>
    <w:rsid w:val="34BB556C"/>
    <w:rsid w:val="35212328"/>
    <w:rsid w:val="358603F2"/>
    <w:rsid w:val="36A65EF8"/>
    <w:rsid w:val="36FB2C59"/>
    <w:rsid w:val="373827F1"/>
    <w:rsid w:val="378C21EF"/>
    <w:rsid w:val="379345D1"/>
    <w:rsid w:val="37974BFF"/>
    <w:rsid w:val="37BE23C2"/>
    <w:rsid w:val="37F02022"/>
    <w:rsid w:val="37F27DC4"/>
    <w:rsid w:val="37FA0AD6"/>
    <w:rsid w:val="383E2980"/>
    <w:rsid w:val="384A1E85"/>
    <w:rsid w:val="387F2F2C"/>
    <w:rsid w:val="3A3F65BD"/>
    <w:rsid w:val="3A773720"/>
    <w:rsid w:val="3AFC391A"/>
    <w:rsid w:val="3B14535E"/>
    <w:rsid w:val="3C036E6F"/>
    <w:rsid w:val="3C3E683E"/>
    <w:rsid w:val="3C456A69"/>
    <w:rsid w:val="3C487023"/>
    <w:rsid w:val="3C887586"/>
    <w:rsid w:val="3D522FF0"/>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803823"/>
    <w:rsid w:val="41A706B0"/>
    <w:rsid w:val="41BF02F4"/>
    <w:rsid w:val="422E1FDF"/>
    <w:rsid w:val="423C71D1"/>
    <w:rsid w:val="426213B7"/>
    <w:rsid w:val="42CE1EFE"/>
    <w:rsid w:val="435C1211"/>
    <w:rsid w:val="43DE4636"/>
    <w:rsid w:val="44106AE0"/>
    <w:rsid w:val="44367FF1"/>
    <w:rsid w:val="4500284B"/>
    <w:rsid w:val="45407B03"/>
    <w:rsid w:val="45C004AA"/>
    <w:rsid w:val="46587D68"/>
    <w:rsid w:val="46CC5915"/>
    <w:rsid w:val="47847BD9"/>
    <w:rsid w:val="47AD4330"/>
    <w:rsid w:val="48582775"/>
    <w:rsid w:val="48836EA0"/>
    <w:rsid w:val="48C72F43"/>
    <w:rsid w:val="48E1049E"/>
    <w:rsid w:val="49056F4D"/>
    <w:rsid w:val="49280B38"/>
    <w:rsid w:val="492C5B3D"/>
    <w:rsid w:val="49A4783E"/>
    <w:rsid w:val="4A603B29"/>
    <w:rsid w:val="4A790DED"/>
    <w:rsid w:val="4A85340F"/>
    <w:rsid w:val="4ACE7F4F"/>
    <w:rsid w:val="4AED65F2"/>
    <w:rsid w:val="4B635392"/>
    <w:rsid w:val="4BA21255"/>
    <w:rsid w:val="4DC66F68"/>
    <w:rsid w:val="510A2956"/>
    <w:rsid w:val="514F2EE0"/>
    <w:rsid w:val="51A458AF"/>
    <w:rsid w:val="527F49C8"/>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9A57A14"/>
    <w:rsid w:val="5AAF6E02"/>
    <w:rsid w:val="5AEA3AD0"/>
    <w:rsid w:val="5B1D2529"/>
    <w:rsid w:val="5B35349E"/>
    <w:rsid w:val="5B3F7D83"/>
    <w:rsid w:val="5B527398"/>
    <w:rsid w:val="5BA959B9"/>
    <w:rsid w:val="5CC70FAC"/>
    <w:rsid w:val="5D173705"/>
    <w:rsid w:val="5D1B4B8A"/>
    <w:rsid w:val="5D915ACD"/>
    <w:rsid w:val="5E093F5D"/>
    <w:rsid w:val="5E611270"/>
    <w:rsid w:val="5EB2026E"/>
    <w:rsid w:val="5FA30C9C"/>
    <w:rsid w:val="5FE13E30"/>
    <w:rsid w:val="60883A59"/>
    <w:rsid w:val="61033D16"/>
    <w:rsid w:val="623E76D0"/>
    <w:rsid w:val="625B24D7"/>
    <w:rsid w:val="62CD795C"/>
    <w:rsid w:val="6438579B"/>
    <w:rsid w:val="655749FB"/>
    <w:rsid w:val="65E5671A"/>
    <w:rsid w:val="66EA0C9A"/>
    <w:rsid w:val="66FB3BC1"/>
    <w:rsid w:val="67023348"/>
    <w:rsid w:val="6753255C"/>
    <w:rsid w:val="678F7868"/>
    <w:rsid w:val="686F59C5"/>
    <w:rsid w:val="68985C4A"/>
    <w:rsid w:val="68BB275A"/>
    <w:rsid w:val="695E0A51"/>
    <w:rsid w:val="6AE713EB"/>
    <w:rsid w:val="6B015D37"/>
    <w:rsid w:val="6B8D7C67"/>
    <w:rsid w:val="6B9014C7"/>
    <w:rsid w:val="6C7B13C4"/>
    <w:rsid w:val="6C7F53F5"/>
    <w:rsid w:val="6CA73029"/>
    <w:rsid w:val="6CB25A7F"/>
    <w:rsid w:val="6D027CD6"/>
    <w:rsid w:val="6DD71BCE"/>
    <w:rsid w:val="6E3164EF"/>
    <w:rsid w:val="6E550ED4"/>
    <w:rsid w:val="6EA5652C"/>
    <w:rsid w:val="6ECD772E"/>
    <w:rsid w:val="6ED71557"/>
    <w:rsid w:val="6F0C38CA"/>
    <w:rsid w:val="6F6774FE"/>
    <w:rsid w:val="70243E6C"/>
    <w:rsid w:val="706A3FF6"/>
    <w:rsid w:val="70737BDA"/>
    <w:rsid w:val="70D03715"/>
    <w:rsid w:val="70E0155E"/>
    <w:rsid w:val="711219DD"/>
    <w:rsid w:val="713C5670"/>
    <w:rsid w:val="719201E7"/>
    <w:rsid w:val="71F96DCA"/>
    <w:rsid w:val="72107C5B"/>
    <w:rsid w:val="732D2693"/>
    <w:rsid w:val="73476175"/>
    <w:rsid w:val="7357254E"/>
    <w:rsid w:val="73611393"/>
    <w:rsid w:val="7431112D"/>
    <w:rsid w:val="749D6575"/>
    <w:rsid w:val="754F1E1A"/>
    <w:rsid w:val="761859F6"/>
    <w:rsid w:val="76206BC5"/>
    <w:rsid w:val="770E210B"/>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DBA6C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8</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2021-11-10T06:23:46Z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